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C9CD" w14:textId="67D9CEEC" w:rsidR="00B42A9E" w:rsidRDefault="00B42A9E" w:rsidP="00BF7615">
      <w:pPr>
        <w:keepNext/>
        <w:keepLines/>
        <w:spacing w:before="240" w:after="0"/>
        <w:outlineLvl w:val="0"/>
        <w:rPr>
          <w:rFonts w:asciiTheme="majorHAnsi" w:eastAsiaTheme="majorEastAsia" w:hAnsiTheme="majorHAnsi" w:cstheme="majorBidi"/>
          <w:color w:val="2F5496" w:themeColor="accent1" w:themeShade="BF"/>
          <w:kern w:val="0"/>
          <w:sz w:val="32"/>
          <w:szCs w:val="32"/>
          <w14:ligatures w14:val="none"/>
        </w:rPr>
      </w:pPr>
      <w:r>
        <w:rPr>
          <w:rFonts w:asciiTheme="majorHAnsi" w:eastAsiaTheme="majorEastAsia" w:hAnsiTheme="majorHAnsi" w:cstheme="majorBidi"/>
          <w:noProof/>
          <w:color w:val="2F5496" w:themeColor="accent1" w:themeShade="BF"/>
          <w:kern w:val="0"/>
          <w:sz w:val="32"/>
          <w:szCs w:val="32"/>
        </w:rPr>
        <w:drawing>
          <wp:inline distT="0" distB="0" distL="0" distR="0" wp14:anchorId="29E41F2F" wp14:editId="223DE543">
            <wp:extent cx="5943600" cy="2190750"/>
            <wp:effectExtent l="0" t="0" r="0" b="0"/>
            <wp:docPr id="1513148369" name="Picture 1" descr="A close-up of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48369" name="Picture 1" descr="A close-up of a white back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90750"/>
                    </a:xfrm>
                    <a:prstGeom prst="rect">
                      <a:avLst/>
                    </a:prstGeom>
                  </pic:spPr>
                </pic:pic>
              </a:graphicData>
            </a:graphic>
          </wp:inline>
        </w:drawing>
      </w:r>
    </w:p>
    <w:p w14:paraId="69AEC5F6" w14:textId="77777777" w:rsidR="00D0652E" w:rsidRPr="00912C62" w:rsidRDefault="00CF7B2A" w:rsidP="00D0652E">
      <w:pPr>
        <w:pStyle w:val="Title"/>
        <w:rPr>
          <w:color w:val="385623" w:themeColor="accent6" w:themeShade="80"/>
          <w:sz w:val="52"/>
          <w:szCs w:val="52"/>
        </w:rPr>
      </w:pPr>
      <w:r w:rsidRPr="00912C62">
        <w:rPr>
          <w:color w:val="385623" w:themeColor="accent6" w:themeShade="80"/>
          <w:sz w:val="52"/>
          <w:szCs w:val="52"/>
        </w:rPr>
        <w:t xml:space="preserve">Bias and Defense Mechanisms: </w:t>
      </w:r>
    </w:p>
    <w:p w14:paraId="2F1BCEFE" w14:textId="46453FD6" w:rsidR="00BF7615" w:rsidRPr="00912C62" w:rsidRDefault="00BF7615" w:rsidP="00D0652E">
      <w:pPr>
        <w:pStyle w:val="Title"/>
        <w:rPr>
          <w:color w:val="385623" w:themeColor="accent6" w:themeShade="80"/>
          <w:sz w:val="52"/>
          <w:szCs w:val="52"/>
        </w:rPr>
      </w:pPr>
      <w:r w:rsidRPr="00912C62">
        <w:rPr>
          <w:color w:val="385623" w:themeColor="accent6" w:themeShade="80"/>
          <w:sz w:val="52"/>
          <w:szCs w:val="52"/>
        </w:rPr>
        <w:t>Theory and Practice</w:t>
      </w:r>
    </w:p>
    <w:p w14:paraId="09D84F4F" w14:textId="5B0419A5" w:rsidR="00012F71" w:rsidRPr="00BF7615" w:rsidRDefault="00012F71" w:rsidP="00BF7615">
      <w:pPr>
        <w:keepNext/>
        <w:keepLines/>
        <w:spacing w:before="240" w:after="0"/>
        <w:outlineLvl w:val="0"/>
        <w:rPr>
          <w:rFonts w:asciiTheme="majorHAnsi" w:eastAsiaTheme="majorEastAsia" w:hAnsiTheme="majorHAnsi" w:cstheme="majorBidi"/>
          <w:color w:val="2F5496" w:themeColor="accent1" w:themeShade="BF"/>
          <w:kern w:val="0"/>
          <w:sz w:val="32"/>
          <w:szCs w:val="32"/>
          <w14:ligatures w14:val="none"/>
        </w:rPr>
      </w:pPr>
      <w:r>
        <w:rPr>
          <w:rFonts w:asciiTheme="majorHAnsi" w:eastAsiaTheme="majorEastAsia" w:hAnsiTheme="majorHAnsi" w:cstheme="majorBidi"/>
          <w:color w:val="2F5496" w:themeColor="accent1" w:themeShade="BF"/>
          <w:kern w:val="0"/>
          <w:sz w:val="32"/>
          <w:szCs w:val="32"/>
          <w14:ligatures w14:val="none"/>
        </w:rPr>
        <w:t>Theory</w:t>
      </w:r>
    </w:p>
    <w:p w14:paraId="58E0AF2D" w14:textId="61DEDA7C" w:rsidR="00BF7615" w:rsidRPr="00BF7615" w:rsidRDefault="00BF7615" w:rsidP="00B35438">
      <w:pPr>
        <w:spacing w:line="360" w:lineRule="auto"/>
        <w:rPr>
          <w:kern w:val="0"/>
          <w14:ligatures w14:val="none"/>
        </w:rPr>
      </w:pPr>
      <w:r w:rsidRPr="00BF7615">
        <w:rPr>
          <w:kern w:val="0"/>
          <w14:ligatures w14:val="none"/>
        </w:rPr>
        <w:t>Members love their congregations; through them, they experience and express love for God and one another</w:t>
      </w:r>
      <w:bookmarkStart w:id="0" w:name="_Hlk54252867"/>
      <w:r w:rsidRPr="00BF7615">
        <w:rPr>
          <w:kern w:val="0"/>
          <w14:ligatures w14:val="none"/>
        </w:rPr>
        <w:t xml:space="preserve">.  </w:t>
      </w:r>
      <w:r w:rsidR="00640D6E">
        <w:rPr>
          <w:kern w:val="0"/>
          <w14:ligatures w14:val="none"/>
        </w:rPr>
        <w:t>But what about loving our neighbors? Our goal is to</w:t>
      </w:r>
      <w:r w:rsidRPr="00BF7615">
        <w:rPr>
          <w:kern w:val="0"/>
          <w14:ligatures w14:val="none"/>
        </w:rPr>
        <w:t xml:space="preserve"> </w:t>
      </w:r>
      <w:r w:rsidR="00D7387D">
        <w:rPr>
          <w:kern w:val="0"/>
          <w14:ligatures w14:val="none"/>
        </w:rPr>
        <w:t xml:space="preserve">expand </w:t>
      </w:r>
      <w:r w:rsidR="005860C6">
        <w:rPr>
          <w:kern w:val="0"/>
          <w14:ligatures w14:val="none"/>
        </w:rPr>
        <w:t>folks’</w:t>
      </w:r>
      <w:r w:rsidR="00D7387D">
        <w:rPr>
          <w:kern w:val="0"/>
          <w14:ligatures w14:val="none"/>
        </w:rPr>
        <w:t xml:space="preserve"> </w:t>
      </w:r>
      <w:r w:rsidRPr="00BF7615">
        <w:rPr>
          <w:kern w:val="0"/>
          <w14:ligatures w14:val="none"/>
        </w:rPr>
        <w:t xml:space="preserve">love to include an active love for </w:t>
      </w:r>
      <w:bookmarkEnd w:id="0"/>
      <w:r w:rsidR="005860C6">
        <w:rPr>
          <w:kern w:val="0"/>
          <w14:ligatures w14:val="none"/>
        </w:rPr>
        <w:t>their neighbors</w:t>
      </w:r>
      <w:r w:rsidRPr="00BF7615">
        <w:rPr>
          <w:kern w:val="0"/>
          <w14:ligatures w14:val="none"/>
        </w:rPr>
        <w:t xml:space="preserve">. </w:t>
      </w:r>
      <w:r w:rsidR="0029710C">
        <w:rPr>
          <w:kern w:val="0"/>
          <w14:ligatures w14:val="none"/>
        </w:rPr>
        <w:t>We mean all good things, yet s</w:t>
      </w:r>
      <w:r w:rsidRPr="00BF7615">
        <w:rPr>
          <w:kern w:val="0"/>
          <w14:ligatures w14:val="none"/>
        </w:rPr>
        <w:t xml:space="preserve">ome people hear </w:t>
      </w:r>
      <w:r w:rsidR="0029710C">
        <w:rPr>
          <w:kern w:val="0"/>
          <w14:ligatures w14:val="none"/>
        </w:rPr>
        <w:t xml:space="preserve">this </w:t>
      </w:r>
      <w:r w:rsidRPr="00BF7615">
        <w:rPr>
          <w:kern w:val="0"/>
          <w14:ligatures w14:val="none"/>
        </w:rPr>
        <w:t xml:space="preserve">as a critique of the way they have been living out their faith. If the neighbor is more than </w:t>
      </w:r>
      <w:r w:rsidR="00515CA6">
        <w:rPr>
          <w:kern w:val="0"/>
          <w14:ligatures w14:val="none"/>
        </w:rPr>
        <w:t xml:space="preserve">just </w:t>
      </w:r>
      <w:r w:rsidRPr="00BF7615">
        <w:rPr>
          <w:kern w:val="0"/>
          <w14:ligatures w14:val="none"/>
        </w:rPr>
        <w:t>the people in my congregation, have I been doing this wrong my whole life? If I have been serving my neighbors out of a sense of charity, but never understood it as justice, is my faith somehow less than yours – is that what you are saying?</w:t>
      </w:r>
    </w:p>
    <w:p w14:paraId="3EAD476F" w14:textId="011CA283" w:rsidR="00BF7615" w:rsidRPr="00BF7615" w:rsidRDefault="00BF7615" w:rsidP="00B35438">
      <w:pPr>
        <w:spacing w:line="360" w:lineRule="auto"/>
        <w:rPr>
          <w:kern w:val="0"/>
          <w14:ligatures w14:val="none"/>
        </w:rPr>
      </w:pPr>
      <w:r w:rsidRPr="00BF7615">
        <w:rPr>
          <w:kern w:val="0"/>
          <w14:ligatures w14:val="none"/>
        </w:rPr>
        <w:t>Challenging the way individuals define themselves triggers their psychological defense mechanisms.</w:t>
      </w:r>
      <w:r w:rsidRPr="00BF7615">
        <w:rPr>
          <w:kern w:val="0"/>
          <w:vertAlign w:val="superscript"/>
          <w14:ligatures w14:val="none"/>
        </w:rPr>
        <w:endnoteReference w:id="1"/>
      </w:r>
      <w:r w:rsidRPr="00BF7615">
        <w:rPr>
          <w:kern w:val="0"/>
          <w14:ligatures w14:val="none"/>
        </w:rPr>
        <w:t xml:space="preserve"> Denial is probably the most famous defense mechanism, but there are forty-seven others, all of which serve a common goal: to shield </w:t>
      </w:r>
      <w:r w:rsidR="00F21077">
        <w:rPr>
          <w:kern w:val="0"/>
          <w14:ligatures w14:val="none"/>
        </w:rPr>
        <w:t>us</w:t>
      </w:r>
      <w:r w:rsidRPr="00BF7615">
        <w:rPr>
          <w:kern w:val="0"/>
          <w14:ligatures w14:val="none"/>
        </w:rPr>
        <w:t xml:space="preserve"> from shame and blame. Humans have a built-in change prevention system that uses both emotion and intellect to manage anxiety. Underlying </w:t>
      </w:r>
      <w:r w:rsidR="00F21077">
        <w:rPr>
          <w:kern w:val="0"/>
          <w14:ligatures w14:val="none"/>
        </w:rPr>
        <w:t xml:space="preserve">our </w:t>
      </w:r>
      <w:r w:rsidRPr="00BF7615">
        <w:rPr>
          <w:kern w:val="0"/>
          <w14:ligatures w14:val="none"/>
        </w:rPr>
        <w:t xml:space="preserve">feelings and knowledge systems, each </w:t>
      </w:r>
      <w:r w:rsidR="00F21077">
        <w:rPr>
          <w:kern w:val="0"/>
          <w14:ligatures w14:val="none"/>
        </w:rPr>
        <w:t>of us</w:t>
      </w:r>
      <w:r w:rsidRPr="00BF7615">
        <w:rPr>
          <w:kern w:val="0"/>
          <w14:ligatures w14:val="none"/>
        </w:rPr>
        <w:t xml:space="preserve"> has a few “Big Assumptions” that are never questioned because they </w:t>
      </w:r>
      <w:r w:rsidR="009448E2">
        <w:rPr>
          <w:kern w:val="0"/>
          <w14:ligatures w14:val="none"/>
        </w:rPr>
        <w:t>serve a</w:t>
      </w:r>
      <w:r w:rsidR="009D47D8">
        <w:rPr>
          <w:kern w:val="0"/>
          <w14:ligatures w14:val="none"/>
        </w:rPr>
        <w:t xml:space="preserve">n important purpose: they </w:t>
      </w:r>
      <w:r w:rsidRPr="00BF7615">
        <w:rPr>
          <w:kern w:val="0"/>
          <w14:ligatures w14:val="none"/>
        </w:rPr>
        <w:t xml:space="preserve">make </w:t>
      </w:r>
      <w:r w:rsidR="00F21077">
        <w:rPr>
          <w:kern w:val="0"/>
          <w14:ligatures w14:val="none"/>
        </w:rPr>
        <w:t xml:space="preserve">our </w:t>
      </w:r>
      <w:r w:rsidRPr="00BF7615">
        <w:rPr>
          <w:kern w:val="0"/>
          <w14:ligatures w14:val="none"/>
        </w:rPr>
        <w:t>long-held convictions and behaviors make sense.</w:t>
      </w:r>
      <w:r w:rsidRPr="00BF7615">
        <w:rPr>
          <w:kern w:val="0"/>
          <w:vertAlign w:val="superscript"/>
          <w14:ligatures w14:val="none"/>
        </w:rPr>
        <w:endnoteReference w:id="2"/>
      </w:r>
      <w:r w:rsidRPr="00BF7615">
        <w:rPr>
          <w:kern w:val="0"/>
          <w14:ligatures w14:val="none"/>
        </w:rPr>
        <w:t xml:space="preserve"> But it isn’t only individuals that behave this way; congregations can become victims of their defense mechanisms when their collective underlying beliefs are challenged.</w:t>
      </w:r>
    </w:p>
    <w:p w14:paraId="250B3F22" w14:textId="77777777" w:rsidR="00AF49CB" w:rsidRDefault="00AF49CB" w:rsidP="00BF7615">
      <w:pPr>
        <w:keepNext/>
        <w:keepLines/>
        <w:spacing w:before="40" w:after="0"/>
        <w:outlineLvl w:val="1"/>
        <w:rPr>
          <w:rFonts w:asciiTheme="majorHAnsi" w:eastAsiaTheme="majorEastAsia" w:hAnsiTheme="majorHAnsi" w:cstheme="majorBidi"/>
          <w:color w:val="2F5496" w:themeColor="accent1" w:themeShade="BF"/>
          <w:kern w:val="0"/>
          <w:sz w:val="26"/>
          <w:szCs w:val="26"/>
          <w14:ligatures w14:val="none"/>
        </w:rPr>
      </w:pPr>
      <w:bookmarkStart w:id="1" w:name="_Toc106292418"/>
    </w:p>
    <w:p w14:paraId="430905B6" w14:textId="77777777" w:rsidR="00AF49CB" w:rsidRDefault="00AF49CB" w:rsidP="00BF7615">
      <w:pPr>
        <w:keepNext/>
        <w:keepLines/>
        <w:spacing w:before="40" w:after="0"/>
        <w:outlineLvl w:val="1"/>
        <w:rPr>
          <w:rFonts w:asciiTheme="majorHAnsi" w:eastAsiaTheme="majorEastAsia" w:hAnsiTheme="majorHAnsi" w:cstheme="majorBidi"/>
          <w:color w:val="2F5496" w:themeColor="accent1" w:themeShade="BF"/>
          <w:kern w:val="0"/>
          <w:sz w:val="26"/>
          <w:szCs w:val="26"/>
          <w14:ligatures w14:val="none"/>
        </w:rPr>
      </w:pPr>
    </w:p>
    <w:p w14:paraId="189A515B" w14:textId="04A4D842" w:rsidR="00BF7615" w:rsidRPr="00BF7615" w:rsidRDefault="00752E58" w:rsidP="00BF7615">
      <w:pPr>
        <w:keepNext/>
        <w:keepLines/>
        <w:spacing w:before="40" w:after="0"/>
        <w:outlineLvl w:val="1"/>
        <w:rPr>
          <w:rFonts w:asciiTheme="majorHAnsi" w:eastAsiaTheme="majorEastAsia" w:hAnsiTheme="majorHAnsi" w:cstheme="majorBidi"/>
          <w:color w:val="2F5496" w:themeColor="accent1" w:themeShade="BF"/>
          <w:kern w:val="0"/>
          <w:sz w:val="26"/>
          <w:szCs w:val="26"/>
          <w14:ligatures w14:val="none"/>
        </w:rPr>
      </w:pPr>
      <w:r>
        <w:rPr>
          <w:rFonts w:asciiTheme="majorHAnsi" w:eastAsiaTheme="majorEastAsia" w:hAnsiTheme="majorHAnsi" w:cstheme="majorBidi"/>
          <w:color w:val="2F5496" w:themeColor="accent1" w:themeShade="BF"/>
          <w:kern w:val="0"/>
          <w:sz w:val="26"/>
          <w:szCs w:val="26"/>
          <w14:ligatures w14:val="none"/>
        </w:rPr>
        <w:t xml:space="preserve">Technical or Adaptive </w:t>
      </w:r>
      <w:r w:rsidR="00D13C2A">
        <w:rPr>
          <w:rFonts w:asciiTheme="majorHAnsi" w:eastAsiaTheme="majorEastAsia" w:hAnsiTheme="majorHAnsi" w:cstheme="majorBidi"/>
          <w:color w:val="2F5496" w:themeColor="accent1" w:themeShade="BF"/>
          <w:kern w:val="0"/>
          <w:sz w:val="26"/>
          <w:szCs w:val="26"/>
          <w14:ligatures w14:val="none"/>
        </w:rPr>
        <w:t>Solutions</w:t>
      </w:r>
      <w:r w:rsidR="00BF7615" w:rsidRPr="00BF7615">
        <w:rPr>
          <w:rFonts w:asciiTheme="majorHAnsi" w:eastAsiaTheme="majorEastAsia" w:hAnsiTheme="majorHAnsi" w:cstheme="majorBidi"/>
          <w:color w:val="2F5496" w:themeColor="accent1" w:themeShade="BF"/>
          <w:kern w:val="0"/>
          <w:sz w:val="26"/>
          <w:szCs w:val="26"/>
          <w14:ligatures w14:val="none"/>
        </w:rPr>
        <w:t>.</w:t>
      </w:r>
      <w:bookmarkEnd w:id="1"/>
    </w:p>
    <w:p w14:paraId="71A06D15" w14:textId="77777777" w:rsidR="00E15E20" w:rsidRDefault="00BF7615" w:rsidP="0099062E">
      <w:pPr>
        <w:spacing w:line="360" w:lineRule="auto"/>
        <w:rPr>
          <w:kern w:val="0"/>
          <w14:ligatures w14:val="none"/>
        </w:rPr>
      </w:pPr>
      <w:r w:rsidRPr="00BF7615">
        <w:rPr>
          <w:kern w:val="0"/>
          <w14:ligatures w14:val="none"/>
        </w:rPr>
        <w:t>Though some folks think the answer lies in information</w:t>
      </w:r>
      <w:r w:rsidR="00974FC1">
        <w:rPr>
          <w:kern w:val="0"/>
          <w14:ligatures w14:val="none"/>
        </w:rPr>
        <w:t xml:space="preserve">. If people understand the facts, they’ll respond appropriately. </w:t>
      </w:r>
      <w:r w:rsidRPr="00BF7615">
        <w:rPr>
          <w:kern w:val="0"/>
          <w14:ligatures w14:val="none"/>
        </w:rPr>
        <w:t xml:space="preserve"> </w:t>
      </w:r>
      <w:r w:rsidR="00974FC1">
        <w:rPr>
          <w:kern w:val="0"/>
          <w14:ligatures w14:val="none"/>
        </w:rPr>
        <w:t xml:space="preserve">But </w:t>
      </w:r>
      <w:r w:rsidRPr="00BF7615">
        <w:rPr>
          <w:kern w:val="0"/>
          <w14:ligatures w14:val="none"/>
        </w:rPr>
        <w:t xml:space="preserve">that only works within specific situations. Technical problems are solved by existing knowledge, meaning this problem has a known solution </w:t>
      </w:r>
      <w:r w:rsidR="00E15E20">
        <w:rPr>
          <w:kern w:val="0"/>
          <w14:ligatures w14:val="none"/>
        </w:rPr>
        <w:t xml:space="preserve">and </w:t>
      </w:r>
      <w:r w:rsidRPr="00BF7615">
        <w:rPr>
          <w:kern w:val="0"/>
          <w14:ligatures w14:val="none"/>
        </w:rPr>
        <w:t xml:space="preserve">we just need to apply the solution and it will be gone. The toilet backs up and floods the narthex.  I don’t know how to fix that, but I know who does and I know it can be done. All I have to do is call a plumber and let them take care of it.  </w:t>
      </w:r>
    </w:p>
    <w:p w14:paraId="3D4DB1E6" w14:textId="771A2898" w:rsidR="00A6400D" w:rsidRDefault="00BF7615" w:rsidP="0099062E">
      <w:pPr>
        <w:spacing w:line="360" w:lineRule="auto"/>
        <w:rPr>
          <w:kern w:val="0"/>
          <w14:ligatures w14:val="none"/>
        </w:rPr>
      </w:pPr>
      <w:r w:rsidRPr="00BF7615">
        <w:rPr>
          <w:kern w:val="0"/>
          <w14:ligatures w14:val="none"/>
        </w:rPr>
        <w:t>Many folks apply this logic to the struggle congregations are having with decline.  They work hard to revive something they know how to do because it was successful in their congregation years ago – and nothing happens.  Disappointed that all their work was for nothing, they never consider that they</w:t>
      </w:r>
      <w:r w:rsidR="00C83D00">
        <w:rPr>
          <w:kern w:val="0"/>
          <w14:ligatures w14:val="none"/>
        </w:rPr>
        <w:t xml:space="preserve"> have</w:t>
      </w:r>
      <w:r w:rsidRPr="00BF7615">
        <w:rPr>
          <w:kern w:val="0"/>
          <w14:ligatures w14:val="none"/>
        </w:rPr>
        <w:t xml:space="preserve"> misdiagnosed the problem.  </w:t>
      </w:r>
    </w:p>
    <w:p w14:paraId="24AE174D" w14:textId="77777777" w:rsidR="001A0073" w:rsidRDefault="00BF7615" w:rsidP="00012F71">
      <w:pPr>
        <w:spacing w:line="360" w:lineRule="auto"/>
        <w:rPr>
          <w:kern w:val="0"/>
          <w14:ligatures w14:val="none"/>
        </w:rPr>
      </w:pPr>
      <w:r w:rsidRPr="00BF7615">
        <w:rPr>
          <w:kern w:val="0"/>
          <w14:ligatures w14:val="none"/>
        </w:rPr>
        <w:t>Church decline is not a technical problem. There is no single silver bullet</w:t>
      </w:r>
      <w:r w:rsidR="0017721A">
        <w:rPr>
          <w:kern w:val="0"/>
          <w14:ligatures w14:val="none"/>
        </w:rPr>
        <w:t>. There is</w:t>
      </w:r>
      <w:r w:rsidRPr="00BF7615">
        <w:rPr>
          <w:kern w:val="0"/>
          <w14:ligatures w14:val="none"/>
        </w:rPr>
        <w:t xml:space="preserve"> no one way to fix the problem because it isn’t a problem, but a situation that is somewhat unique to each congregation. What is needed is an adaptive </w:t>
      </w:r>
      <w:r w:rsidR="0017721A">
        <w:rPr>
          <w:kern w:val="0"/>
          <w14:ligatures w14:val="none"/>
        </w:rPr>
        <w:t>solution</w:t>
      </w:r>
      <w:r w:rsidR="00FF3CD4">
        <w:rPr>
          <w:kern w:val="0"/>
          <w14:ligatures w14:val="none"/>
        </w:rPr>
        <w:t>:</w:t>
      </w:r>
      <w:r w:rsidR="0017721A">
        <w:rPr>
          <w:kern w:val="0"/>
          <w14:ligatures w14:val="none"/>
        </w:rPr>
        <w:t xml:space="preserve"> A process</w:t>
      </w:r>
      <w:r w:rsidRPr="00BF7615">
        <w:rPr>
          <w:kern w:val="0"/>
          <w14:ligatures w14:val="none"/>
        </w:rPr>
        <w:t xml:space="preserve"> through which the congregation can discover </w:t>
      </w:r>
      <w:r w:rsidR="0048225B">
        <w:rPr>
          <w:kern w:val="0"/>
          <w14:ligatures w14:val="none"/>
        </w:rPr>
        <w:t xml:space="preserve">how to </w:t>
      </w:r>
      <w:r w:rsidRPr="00BF7615">
        <w:rPr>
          <w:kern w:val="0"/>
          <w14:ligatures w14:val="none"/>
        </w:rPr>
        <w:t>get to know t</w:t>
      </w:r>
      <w:r w:rsidR="0048225B">
        <w:rPr>
          <w:kern w:val="0"/>
          <w14:ligatures w14:val="none"/>
        </w:rPr>
        <w:t>heir neighbors</w:t>
      </w:r>
      <w:r w:rsidR="001B6DE2">
        <w:rPr>
          <w:kern w:val="0"/>
          <w14:ligatures w14:val="none"/>
        </w:rPr>
        <w:t xml:space="preserve">, </w:t>
      </w:r>
      <w:r w:rsidRPr="00BF7615">
        <w:rPr>
          <w:kern w:val="0"/>
          <w14:ligatures w14:val="none"/>
        </w:rPr>
        <w:t>learn from them</w:t>
      </w:r>
      <w:r w:rsidR="001B6DE2">
        <w:rPr>
          <w:kern w:val="0"/>
          <w14:ligatures w14:val="none"/>
        </w:rPr>
        <w:t>,</w:t>
      </w:r>
      <w:r w:rsidRPr="00BF7615">
        <w:rPr>
          <w:kern w:val="0"/>
          <w14:ligatures w14:val="none"/>
        </w:rPr>
        <w:t xml:space="preserve"> and THEN become a congregation thei</w:t>
      </w:r>
      <w:r w:rsidR="00CE364B">
        <w:rPr>
          <w:kern w:val="0"/>
          <w14:ligatures w14:val="none"/>
        </w:rPr>
        <w:t>r neighbors might enjoy</w:t>
      </w:r>
      <w:r w:rsidRPr="00BF7615">
        <w:rPr>
          <w:kern w:val="0"/>
          <w14:ligatures w14:val="none"/>
        </w:rPr>
        <w:t>.</w:t>
      </w:r>
    </w:p>
    <w:p w14:paraId="51907364" w14:textId="4D4C07ED" w:rsidR="000B64D7" w:rsidRDefault="00BF7615" w:rsidP="00012F71">
      <w:pPr>
        <w:spacing w:line="360" w:lineRule="auto"/>
        <w:rPr>
          <w:kern w:val="0"/>
          <w14:ligatures w14:val="none"/>
        </w:rPr>
      </w:pPr>
      <w:r w:rsidRPr="00BF7615">
        <w:rPr>
          <w:kern w:val="0"/>
          <w14:ligatures w14:val="none"/>
        </w:rPr>
        <w:t xml:space="preserve">Adaptive </w:t>
      </w:r>
      <w:r w:rsidR="00CE364B">
        <w:rPr>
          <w:kern w:val="0"/>
          <w14:ligatures w14:val="none"/>
        </w:rPr>
        <w:t xml:space="preserve">solutions include </w:t>
      </w:r>
      <w:r w:rsidR="00A24885">
        <w:rPr>
          <w:kern w:val="0"/>
          <w14:ligatures w14:val="none"/>
        </w:rPr>
        <w:t xml:space="preserve">intentionally </w:t>
      </w:r>
      <w:r w:rsidR="00CE364B">
        <w:rPr>
          <w:kern w:val="0"/>
          <w14:ligatures w14:val="none"/>
        </w:rPr>
        <w:t xml:space="preserve">practicing a new way of </w:t>
      </w:r>
      <w:r w:rsidR="00864CAF">
        <w:rPr>
          <w:kern w:val="0"/>
          <w14:ligatures w14:val="none"/>
        </w:rPr>
        <w:t>living</w:t>
      </w:r>
      <w:r w:rsidR="0059068B">
        <w:rPr>
          <w:kern w:val="0"/>
          <w14:ligatures w14:val="none"/>
        </w:rPr>
        <w:t xml:space="preserve">. </w:t>
      </w:r>
      <w:r w:rsidR="00D75EB4">
        <w:rPr>
          <w:kern w:val="0"/>
          <w14:ligatures w14:val="none"/>
        </w:rPr>
        <w:t xml:space="preserve"> </w:t>
      </w:r>
      <w:r w:rsidR="005F783A">
        <w:rPr>
          <w:kern w:val="0"/>
          <w14:ligatures w14:val="none"/>
        </w:rPr>
        <w:t xml:space="preserve">The </w:t>
      </w:r>
      <w:r w:rsidR="00C0150D">
        <w:rPr>
          <w:kern w:val="0"/>
          <w14:ligatures w14:val="none"/>
        </w:rPr>
        <w:t xml:space="preserve">solution </w:t>
      </w:r>
      <w:r w:rsidR="005F783A">
        <w:rPr>
          <w:kern w:val="0"/>
          <w14:ligatures w14:val="none"/>
        </w:rPr>
        <w:t xml:space="preserve">needs to align </w:t>
      </w:r>
      <w:r w:rsidR="001A0073">
        <w:rPr>
          <w:kern w:val="0"/>
          <w14:ligatures w14:val="none"/>
        </w:rPr>
        <w:t>beliefs</w:t>
      </w:r>
      <w:r w:rsidR="005F783A">
        <w:rPr>
          <w:kern w:val="0"/>
          <w14:ligatures w14:val="none"/>
        </w:rPr>
        <w:t xml:space="preserve"> and behaviors</w:t>
      </w:r>
      <w:r w:rsidR="001A0073">
        <w:rPr>
          <w:kern w:val="0"/>
          <w14:ligatures w14:val="none"/>
        </w:rPr>
        <w:t xml:space="preserve">, </w:t>
      </w:r>
      <w:r w:rsidR="005F783A">
        <w:rPr>
          <w:kern w:val="0"/>
          <w14:ligatures w14:val="none"/>
        </w:rPr>
        <w:t xml:space="preserve">meaning </w:t>
      </w:r>
      <w:r w:rsidR="00C0150D">
        <w:rPr>
          <w:kern w:val="0"/>
          <w14:ligatures w14:val="none"/>
        </w:rPr>
        <w:t>the</w:t>
      </w:r>
      <w:r w:rsidR="005F783A">
        <w:rPr>
          <w:kern w:val="0"/>
          <w14:ligatures w14:val="none"/>
        </w:rPr>
        <w:t xml:space="preserve"> new ideas must be acted on quickly. </w:t>
      </w:r>
      <w:r w:rsidR="001A06BD">
        <w:rPr>
          <w:kern w:val="0"/>
          <w14:ligatures w14:val="none"/>
        </w:rPr>
        <w:t xml:space="preserve"> For example: </w:t>
      </w:r>
      <w:r w:rsidR="001A0073">
        <w:rPr>
          <w:kern w:val="0"/>
          <w14:ligatures w14:val="none"/>
        </w:rPr>
        <w:t>say</w:t>
      </w:r>
      <w:r w:rsidR="001A06BD">
        <w:rPr>
          <w:kern w:val="0"/>
          <w14:ligatures w14:val="none"/>
        </w:rPr>
        <w:t xml:space="preserve"> I’m working with a group to help them see that God</w:t>
      </w:r>
      <w:r w:rsidR="00D67D87">
        <w:rPr>
          <w:kern w:val="0"/>
          <w14:ligatures w14:val="none"/>
        </w:rPr>
        <w:t xml:space="preserve"> </w:t>
      </w:r>
      <w:r w:rsidR="00346262">
        <w:rPr>
          <w:kern w:val="0"/>
          <w14:ligatures w14:val="none"/>
        </w:rPr>
        <w:t>wants the</w:t>
      </w:r>
      <w:r w:rsidR="002111B4">
        <w:rPr>
          <w:kern w:val="0"/>
          <w14:ligatures w14:val="none"/>
        </w:rPr>
        <w:t xml:space="preserve">m to actively love </w:t>
      </w:r>
      <w:r w:rsidR="00D67D87">
        <w:rPr>
          <w:kern w:val="0"/>
          <w14:ligatures w14:val="none"/>
        </w:rPr>
        <w:t>their neighbors, b</w:t>
      </w:r>
      <w:r w:rsidR="007B4C1D">
        <w:rPr>
          <w:kern w:val="0"/>
          <w14:ligatures w14:val="none"/>
        </w:rPr>
        <w:t xml:space="preserve">ut </w:t>
      </w:r>
      <w:r w:rsidR="00F51849">
        <w:rPr>
          <w:kern w:val="0"/>
          <w14:ligatures w14:val="none"/>
        </w:rPr>
        <w:t>I don’t</w:t>
      </w:r>
      <w:r w:rsidR="001A0073">
        <w:rPr>
          <w:kern w:val="0"/>
          <w14:ligatures w14:val="none"/>
        </w:rPr>
        <w:t xml:space="preserve"> guide </w:t>
      </w:r>
      <w:r w:rsidR="00F51849">
        <w:rPr>
          <w:kern w:val="0"/>
          <w14:ligatures w14:val="none"/>
        </w:rPr>
        <w:t>them</w:t>
      </w:r>
      <w:r w:rsidR="00346262">
        <w:rPr>
          <w:kern w:val="0"/>
          <w14:ligatures w14:val="none"/>
        </w:rPr>
        <w:t xml:space="preserve"> step-by-step</w:t>
      </w:r>
      <w:r w:rsidR="001A0073">
        <w:rPr>
          <w:kern w:val="0"/>
          <w14:ligatures w14:val="none"/>
        </w:rPr>
        <w:t xml:space="preserve"> to </w:t>
      </w:r>
      <w:r w:rsidR="00F51849">
        <w:rPr>
          <w:kern w:val="0"/>
          <w14:ligatures w14:val="none"/>
        </w:rPr>
        <w:t>act on that</w:t>
      </w:r>
      <w:r w:rsidR="005602A1">
        <w:rPr>
          <w:kern w:val="0"/>
          <w14:ligatures w14:val="none"/>
        </w:rPr>
        <w:t xml:space="preserve">, </w:t>
      </w:r>
      <w:r w:rsidR="00B87E80">
        <w:rPr>
          <w:kern w:val="0"/>
          <w14:ligatures w14:val="none"/>
        </w:rPr>
        <w:t xml:space="preserve">they </w:t>
      </w:r>
      <w:r w:rsidR="005602A1">
        <w:rPr>
          <w:kern w:val="0"/>
          <w14:ligatures w14:val="none"/>
        </w:rPr>
        <w:t>may</w:t>
      </w:r>
      <w:r w:rsidR="00B87E80">
        <w:rPr>
          <w:kern w:val="0"/>
          <w14:ligatures w14:val="none"/>
        </w:rPr>
        <w:t xml:space="preserve"> experience cognitive dissonance</w:t>
      </w:r>
      <w:r w:rsidR="00D67D87">
        <w:rPr>
          <w:kern w:val="0"/>
          <w14:ligatures w14:val="none"/>
        </w:rPr>
        <w:t>.  When there is a gap between what we believe and how we behave, th</w:t>
      </w:r>
      <w:r w:rsidR="0095053B">
        <w:rPr>
          <w:kern w:val="0"/>
          <w14:ligatures w14:val="none"/>
        </w:rPr>
        <w:t>at</w:t>
      </w:r>
      <w:r w:rsidR="00D67D87">
        <w:rPr>
          <w:kern w:val="0"/>
          <w14:ligatures w14:val="none"/>
        </w:rPr>
        <w:t xml:space="preserve"> dissonance </w:t>
      </w:r>
      <w:r w:rsidR="006F45CB">
        <w:rPr>
          <w:kern w:val="0"/>
          <w14:ligatures w14:val="none"/>
        </w:rPr>
        <w:t>can</w:t>
      </w:r>
      <w:r w:rsidR="00D67D87">
        <w:rPr>
          <w:kern w:val="0"/>
          <w14:ligatures w14:val="none"/>
        </w:rPr>
        <w:t xml:space="preserve"> </w:t>
      </w:r>
      <w:r w:rsidR="006F45CB">
        <w:rPr>
          <w:kern w:val="0"/>
          <w14:ligatures w14:val="none"/>
        </w:rPr>
        <w:t>trigger</w:t>
      </w:r>
      <w:r w:rsidR="00B87E80">
        <w:rPr>
          <w:kern w:val="0"/>
          <w14:ligatures w14:val="none"/>
        </w:rPr>
        <w:t xml:space="preserve"> defense mechanisms</w:t>
      </w:r>
      <w:r w:rsidR="00037B70">
        <w:rPr>
          <w:kern w:val="0"/>
          <w14:ligatures w14:val="none"/>
        </w:rPr>
        <w:t xml:space="preserve">. </w:t>
      </w:r>
      <w:r w:rsidR="003732DD" w:rsidRPr="00BF7615">
        <w:rPr>
          <w:kern w:val="0"/>
          <w14:ligatures w14:val="none"/>
        </w:rPr>
        <w:t xml:space="preserve">The easiest way to </w:t>
      </w:r>
      <w:r w:rsidR="004743A6">
        <w:rPr>
          <w:kern w:val="0"/>
          <w14:ligatures w14:val="none"/>
        </w:rPr>
        <w:t>escape</w:t>
      </w:r>
      <w:r w:rsidR="003732DD" w:rsidRPr="00BF7615">
        <w:rPr>
          <w:kern w:val="0"/>
          <w14:ligatures w14:val="none"/>
        </w:rPr>
        <w:t xml:space="preserve"> th</w:t>
      </w:r>
      <w:r w:rsidR="006F45CB">
        <w:rPr>
          <w:kern w:val="0"/>
          <w14:ligatures w14:val="none"/>
        </w:rPr>
        <w:t xml:space="preserve">e </w:t>
      </w:r>
      <w:r w:rsidR="003732DD" w:rsidRPr="00BF7615">
        <w:rPr>
          <w:kern w:val="0"/>
          <w14:ligatures w14:val="none"/>
        </w:rPr>
        <w:t xml:space="preserve">dissonance </w:t>
      </w:r>
      <w:r w:rsidR="003B6A12">
        <w:rPr>
          <w:kern w:val="0"/>
          <w14:ligatures w14:val="none"/>
        </w:rPr>
        <w:t>is t</w:t>
      </w:r>
      <w:r w:rsidR="002074EC">
        <w:rPr>
          <w:kern w:val="0"/>
          <w14:ligatures w14:val="none"/>
        </w:rPr>
        <w:t xml:space="preserve">o </w:t>
      </w:r>
      <w:r w:rsidR="00254603" w:rsidRPr="00E300AD">
        <w:rPr>
          <w:i/>
          <w:iCs/>
          <w:kern w:val="0"/>
          <w14:ligatures w14:val="none"/>
        </w:rPr>
        <w:t>justif</w:t>
      </w:r>
      <w:r w:rsidR="0003177B" w:rsidRPr="00E300AD">
        <w:rPr>
          <w:i/>
          <w:iCs/>
          <w:kern w:val="0"/>
          <w14:ligatures w14:val="none"/>
        </w:rPr>
        <w:t>y</w:t>
      </w:r>
      <w:r w:rsidR="0003177B">
        <w:rPr>
          <w:kern w:val="0"/>
          <w14:ligatures w14:val="none"/>
        </w:rPr>
        <w:t xml:space="preserve"> </w:t>
      </w:r>
      <w:r w:rsidR="004173A9">
        <w:rPr>
          <w:kern w:val="0"/>
          <w14:ligatures w14:val="none"/>
        </w:rPr>
        <w:t xml:space="preserve">ourselves by declaring the new learning incorrect and then </w:t>
      </w:r>
      <w:r w:rsidR="004743A6">
        <w:rPr>
          <w:i/>
          <w:iCs/>
          <w:kern w:val="0"/>
          <w14:ligatures w14:val="none"/>
        </w:rPr>
        <w:t xml:space="preserve">regressing </w:t>
      </w:r>
      <w:r w:rsidR="003732DD" w:rsidRPr="00BF7615">
        <w:rPr>
          <w:kern w:val="0"/>
          <w14:ligatures w14:val="none"/>
        </w:rPr>
        <w:t xml:space="preserve">to </w:t>
      </w:r>
      <w:r w:rsidR="00E300AD">
        <w:rPr>
          <w:kern w:val="0"/>
          <w14:ligatures w14:val="none"/>
        </w:rPr>
        <w:t xml:space="preserve">our old beliefs that align with our old behaviors. </w:t>
      </w:r>
      <w:r w:rsidR="00197063">
        <w:rPr>
          <w:kern w:val="0"/>
          <w14:ligatures w14:val="none"/>
        </w:rPr>
        <w:t>Justification and regression are</w:t>
      </w:r>
      <w:r w:rsidR="00260515">
        <w:rPr>
          <w:kern w:val="0"/>
          <w14:ligatures w14:val="none"/>
        </w:rPr>
        <w:t xml:space="preserve"> just </w:t>
      </w:r>
      <w:r w:rsidR="00197063">
        <w:rPr>
          <w:kern w:val="0"/>
          <w14:ligatures w14:val="none"/>
        </w:rPr>
        <w:t xml:space="preserve">two of the </w:t>
      </w:r>
      <w:r w:rsidR="00260515">
        <w:rPr>
          <w:kern w:val="0"/>
          <w14:ligatures w14:val="none"/>
        </w:rPr>
        <w:t xml:space="preserve">many </w:t>
      </w:r>
      <w:r w:rsidR="00197063">
        <w:rPr>
          <w:kern w:val="0"/>
          <w14:ligatures w14:val="none"/>
        </w:rPr>
        <w:t>defense mechanisms at our disposal.</w:t>
      </w:r>
    </w:p>
    <w:p w14:paraId="389F980B" w14:textId="0EA7B4DB" w:rsidR="00BF7615" w:rsidRPr="00BF7615" w:rsidRDefault="00BF7615" w:rsidP="00BF7615">
      <w:pPr>
        <w:keepNext/>
        <w:keepLines/>
        <w:spacing w:before="40" w:after="0"/>
        <w:outlineLvl w:val="1"/>
        <w:rPr>
          <w:rFonts w:asciiTheme="majorHAnsi" w:eastAsiaTheme="majorEastAsia" w:hAnsiTheme="majorHAnsi" w:cstheme="majorBidi"/>
          <w:color w:val="2F5496" w:themeColor="accent1" w:themeShade="BF"/>
          <w:kern w:val="0"/>
          <w:sz w:val="26"/>
          <w:szCs w:val="26"/>
          <w14:ligatures w14:val="none"/>
        </w:rPr>
      </w:pPr>
      <w:bookmarkStart w:id="2" w:name="_Toc76381766"/>
      <w:bookmarkStart w:id="3" w:name="_Toc106292419"/>
      <w:r w:rsidRPr="00BF7615">
        <w:rPr>
          <w:rFonts w:asciiTheme="majorHAnsi" w:eastAsiaTheme="majorEastAsia" w:hAnsiTheme="majorHAnsi" w:cstheme="majorBidi"/>
          <w:color w:val="2F5496" w:themeColor="accent1" w:themeShade="BF"/>
          <w:kern w:val="0"/>
          <w:sz w:val="26"/>
          <w:szCs w:val="26"/>
          <w14:ligatures w14:val="none"/>
        </w:rPr>
        <w:t>Unintentional Bias Against Diversity</w:t>
      </w:r>
      <w:bookmarkEnd w:id="2"/>
      <w:bookmarkEnd w:id="3"/>
    </w:p>
    <w:p w14:paraId="2DB72DCB" w14:textId="4E364F2A" w:rsidR="0054792A" w:rsidRPr="00BF7615" w:rsidRDefault="009640A5" w:rsidP="0099062E">
      <w:pPr>
        <w:spacing w:line="360" w:lineRule="auto"/>
        <w:rPr>
          <w:kern w:val="0"/>
          <w14:ligatures w14:val="none"/>
        </w:rPr>
      </w:pPr>
      <w:r>
        <w:rPr>
          <w:kern w:val="0"/>
          <w14:ligatures w14:val="none"/>
        </w:rPr>
        <w:t xml:space="preserve">I tend to work with monocultural congregations in multicultural neighborhoods. They don’t </w:t>
      </w:r>
      <w:r w:rsidR="007E51D0">
        <w:rPr>
          <w:kern w:val="0"/>
          <w14:ligatures w14:val="none"/>
        </w:rPr>
        <w:t xml:space="preserve">know their neighbors and are often surprised </w:t>
      </w:r>
      <w:r w:rsidR="00BA15AF">
        <w:rPr>
          <w:kern w:val="0"/>
          <w14:ligatures w14:val="none"/>
        </w:rPr>
        <w:t>when they</w:t>
      </w:r>
      <w:r w:rsidR="007E51D0">
        <w:rPr>
          <w:kern w:val="0"/>
          <w14:ligatures w14:val="none"/>
        </w:rPr>
        <w:t xml:space="preserve"> learn about the people who live in the 3-mile radius around their facility. </w:t>
      </w:r>
      <w:r w:rsidR="00326E1A">
        <w:rPr>
          <w:kern w:val="0"/>
          <w14:ligatures w14:val="none"/>
        </w:rPr>
        <w:t>They have myths about the</w:t>
      </w:r>
      <w:r w:rsidR="00912C62">
        <w:rPr>
          <w:kern w:val="0"/>
          <w14:ligatures w14:val="none"/>
        </w:rPr>
        <w:t xml:space="preserve"> </w:t>
      </w:r>
      <w:r w:rsidR="00326E1A">
        <w:rPr>
          <w:kern w:val="0"/>
          <w14:ligatures w14:val="none"/>
        </w:rPr>
        <w:t xml:space="preserve">neighbors and stories they tell themselves </w:t>
      </w:r>
      <w:r w:rsidR="00C04C2A">
        <w:rPr>
          <w:kern w:val="0"/>
          <w14:ligatures w14:val="none"/>
        </w:rPr>
        <w:t xml:space="preserve">that defend themselves against them.  “They think we’re irrelevant.” “We’ve invited them to come – we even started a Sunday School- but </w:t>
      </w:r>
      <w:r w:rsidR="00C04C2A">
        <w:rPr>
          <w:kern w:val="0"/>
          <w14:ligatures w14:val="none"/>
        </w:rPr>
        <w:lastRenderedPageBreak/>
        <w:t>they never come</w:t>
      </w:r>
      <w:r w:rsidR="00245CFB">
        <w:rPr>
          <w:kern w:val="0"/>
          <w14:ligatures w14:val="none"/>
        </w:rPr>
        <w:t xml:space="preserve">.”  My personal favorite was a group of leaders who agreed that no one could afford to live in the houses around the church. I </w:t>
      </w:r>
      <w:r w:rsidR="003F10F9">
        <w:rPr>
          <w:kern w:val="0"/>
          <w14:ligatures w14:val="none"/>
        </w:rPr>
        <w:t xml:space="preserve">pushed back with a bit of sarcasm “So these homes are all empty?”  No, of course, they weren’t. They sold quickly for lots of money. </w:t>
      </w:r>
      <w:r w:rsidR="009D456B">
        <w:rPr>
          <w:kern w:val="0"/>
          <w14:ligatures w14:val="none"/>
        </w:rPr>
        <w:t xml:space="preserve">The truth was that </w:t>
      </w:r>
      <w:r w:rsidR="0034033C">
        <w:rPr>
          <w:kern w:val="0"/>
          <w14:ligatures w14:val="none"/>
        </w:rPr>
        <w:t xml:space="preserve">the group was a little intimidated by folks who could afford to purchase those homes.  </w:t>
      </w:r>
      <w:r w:rsidR="0054792A" w:rsidRPr="00BF7615">
        <w:rPr>
          <w:kern w:val="0"/>
          <w14:ligatures w14:val="none"/>
        </w:rPr>
        <w:t xml:space="preserve">As Martin Luther King Jr said: </w:t>
      </w:r>
    </w:p>
    <w:p w14:paraId="676497EA" w14:textId="77777777" w:rsidR="0054792A" w:rsidRPr="00BF7615" w:rsidRDefault="0054792A" w:rsidP="0054792A">
      <w:pPr>
        <w:autoSpaceDE w:val="0"/>
        <w:autoSpaceDN w:val="0"/>
        <w:spacing w:before="240" w:after="0" w:line="240" w:lineRule="atLeast"/>
        <w:ind w:left="720" w:right="720"/>
        <w:rPr>
          <w:rFonts w:ascii="Times New Roman" w:eastAsia="Times New Roman" w:hAnsi="Times New Roman" w:cs="Times New Roman"/>
          <w:kern w:val="0"/>
          <w:szCs w:val="20"/>
          <w14:ligatures w14:val="none"/>
        </w:rPr>
      </w:pPr>
      <w:r w:rsidRPr="00BF7615">
        <w:rPr>
          <w:rFonts w:ascii="Times New Roman" w:eastAsia="Times New Roman" w:hAnsi="Times New Roman" w:cs="Times New Roman"/>
          <w:kern w:val="0"/>
          <w:szCs w:val="20"/>
          <w14:ligatures w14:val="none"/>
        </w:rPr>
        <w:t>People fail to get along with each other because they fear each other. They fear each other because they don’t know each other. They don’t know each other because they have not properly communicated with each other.</w:t>
      </w:r>
      <w:r w:rsidRPr="00BF7615">
        <w:rPr>
          <w:rFonts w:ascii="Times New Roman" w:eastAsia="Times New Roman" w:hAnsi="Times New Roman" w:cs="Times New Roman"/>
          <w:kern w:val="0"/>
          <w:szCs w:val="20"/>
          <w:vertAlign w:val="superscript"/>
          <w14:ligatures w14:val="none"/>
        </w:rPr>
        <w:endnoteReference w:id="3"/>
      </w:r>
    </w:p>
    <w:p w14:paraId="459D40FA" w14:textId="1924DDAD" w:rsidR="000A2E40" w:rsidRDefault="000A2E40" w:rsidP="00BF7615">
      <w:pPr>
        <w:spacing w:line="360" w:lineRule="auto"/>
        <w:ind w:firstLine="720"/>
        <w:rPr>
          <w:kern w:val="0"/>
          <w14:ligatures w14:val="none"/>
        </w:rPr>
      </w:pPr>
    </w:p>
    <w:p w14:paraId="6FA01FBB" w14:textId="331FFE07" w:rsidR="003F7279" w:rsidRDefault="00BF7615" w:rsidP="00012F71">
      <w:pPr>
        <w:spacing w:line="360" w:lineRule="auto"/>
        <w:rPr>
          <w:kern w:val="0"/>
          <w14:ligatures w14:val="none"/>
        </w:rPr>
      </w:pPr>
      <w:r w:rsidRPr="00BF7615">
        <w:rPr>
          <w:kern w:val="0"/>
          <w14:ligatures w14:val="none"/>
        </w:rPr>
        <w:t>Expanding love</w:t>
      </w:r>
      <w:r w:rsidR="0095075B">
        <w:rPr>
          <w:kern w:val="0"/>
          <w14:ligatures w14:val="none"/>
        </w:rPr>
        <w:t xml:space="preserve"> to include our neighbors</w:t>
      </w:r>
      <w:r w:rsidRPr="00BF7615">
        <w:rPr>
          <w:kern w:val="0"/>
          <w14:ligatures w14:val="none"/>
        </w:rPr>
        <w:t xml:space="preserve"> often means crossing </w:t>
      </w:r>
      <w:r w:rsidR="00283D5F">
        <w:rPr>
          <w:kern w:val="0"/>
          <w14:ligatures w14:val="none"/>
        </w:rPr>
        <w:t xml:space="preserve">multiple cultural </w:t>
      </w:r>
      <w:r w:rsidR="0080080E">
        <w:rPr>
          <w:kern w:val="0"/>
          <w14:ligatures w14:val="none"/>
        </w:rPr>
        <w:t xml:space="preserve">lines: ethnic, socio-economic, </w:t>
      </w:r>
      <w:r w:rsidR="003F7279">
        <w:rPr>
          <w:kern w:val="0"/>
          <w14:ligatures w14:val="none"/>
        </w:rPr>
        <w:t xml:space="preserve">generational, and gender identity are just a few.  </w:t>
      </w:r>
      <w:r w:rsidR="00390F4E">
        <w:rPr>
          <w:kern w:val="0"/>
          <w14:ligatures w14:val="none"/>
        </w:rPr>
        <w:t xml:space="preserve">We have </w:t>
      </w:r>
      <w:r w:rsidR="002A37C1">
        <w:rPr>
          <w:kern w:val="0"/>
          <w14:ligatures w14:val="none"/>
        </w:rPr>
        <w:t xml:space="preserve">an </w:t>
      </w:r>
      <w:r w:rsidR="00390F4E">
        <w:rPr>
          <w:kern w:val="0"/>
          <w14:ligatures w14:val="none"/>
        </w:rPr>
        <w:t>instinctual bias</w:t>
      </w:r>
      <w:r w:rsidR="002A37C1">
        <w:rPr>
          <w:kern w:val="0"/>
          <w14:ligatures w14:val="none"/>
        </w:rPr>
        <w:t xml:space="preserve"> that interprets difference as a threat. </w:t>
      </w:r>
      <w:r w:rsidR="000A5253">
        <w:rPr>
          <w:kern w:val="0"/>
          <w14:ligatures w14:val="none"/>
        </w:rPr>
        <w:t xml:space="preserve"> </w:t>
      </w:r>
      <w:r w:rsidR="00817F86">
        <w:rPr>
          <w:kern w:val="0"/>
          <w14:ligatures w14:val="none"/>
        </w:rPr>
        <w:t xml:space="preserve">In a study where participants were </w:t>
      </w:r>
      <w:r w:rsidR="005315C7" w:rsidRPr="00BF7615">
        <w:rPr>
          <w:kern w:val="0"/>
          <w14:ligatures w14:val="none"/>
        </w:rPr>
        <w:t>shown a picture of a group of people who are all one color, and another picture of a group with a combination of black and white people, participants</w:t>
      </w:r>
      <w:r w:rsidR="00AB0665">
        <w:rPr>
          <w:kern w:val="0"/>
          <w14:ligatures w14:val="none"/>
        </w:rPr>
        <w:t xml:space="preserve"> of various ethnicities </w:t>
      </w:r>
      <w:r w:rsidR="005315C7" w:rsidRPr="00BF7615">
        <w:rPr>
          <w:kern w:val="0"/>
          <w14:ligatures w14:val="none"/>
        </w:rPr>
        <w:t>felt the monochromatic groups would be more peaceful than the mixed groups.</w:t>
      </w:r>
      <w:r w:rsidR="005315C7" w:rsidRPr="00BF7615">
        <w:rPr>
          <w:kern w:val="0"/>
          <w:vertAlign w:val="superscript"/>
          <w14:ligatures w14:val="none"/>
        </w:rPr>
        <w:endnoteReference w:id="4"/>
      </w:r>
      <w:r w:rsidR="005315C7" w:rsidRPr="00BF7615">
        <w:rPr>
          <w:kern w:val="0"/>
          <w14:ligatures w14:val="none"/>
        </w:rPr>
        <w:t xml:space="preserve"> </w:t>
      </w:r>
      <w:r w:rsidR="000A5253">
        <w:rPr>
          <w:kern w:val="0"/>
          <w14:ligatures w14:val="none"/>
        </w:rPr>
        <w:t xml:space="preserve"> </w:t>
      </w:r>
      <w:r w:rsidR="00F02A62">
        <w:rPr>
          <w:kern w:val="0"/>
          <w14:ligatures w14:val="none"/>
        </w:rPr>
        <w:t xml:space="preserve">Acknowledging this instinct is helpful in that it takes the blame off the individual. We don’t choose to feel threatened, but we can </w:t>
      </w:r>
      <w:r w:rsidR="00674F62">
        <w:rPr>
          <w:kern w:val="0"/>
          <w14:ligatures w14:val="none"/>
        </w:rPr>
        <w:t>calm it.</w:t>
      </w:r>
      <w:r w:rsidR="00F02A62">
        <w:rPr>
          <w:kern w:val="0"/>
          <w14:ligatures w14:val="none"/>
        </w:rPr>
        <w:t xml:space="preserve"> </w:t>
      </w:r>
    </w:p>
    <w:p w14:paraId="39157287" w14:textId="77777777" w:rsidR="00373D82" w:rsidRDefault="00B90D79" w:rsidP="0099062E">
      <w:pPr>
        <w:spacing w:line="360" w:lineRule="auto"/>
        <w:rPr>
          <w:kern w:val="0"/>
          <w14:ligatures w14:val="none"/>
        </w:rPr>
      </w:pPr>
      <w:r w:rsidRPr="00BF7615">
        <w:rPr>
          <w:kern w:val="0"/>
          <w14:ligatures w14:val="none"/>
        </w:rPr>
        <w:t xml:space="preserve">The conversation around race intensified during the COVID-19 pandemic, fueled by the murders of George Floyd, Breonna Taylor, and others. These events led folks to read books written to help white people recognize the false social construct of race, the structures that support white supremacy, and how members of the dominant race cling to privilege. </w:t>
      </w:r>
    </w:p>
    <w:p w14:paraId="33300610" w14:textId="06D77A3E" w:rsidR="00012F71" w:rsidRDefault="00B90D79" w:rsidP="0099062E">
      <w:pPr>
        <w:spacing w:line="360" w:lineRule="auto"/>
        <w:rPr>
          <w:kern w:val="0"/>
          <w14:ligatures w14:val="none"/>
        </w:rPr>
      </w:pPr>
      <w:r w:rsidRPr="00BF7615">
        <w:rPr>
          <w:kern w:val="0"/>
          <w14:ligatures w14:val="none"/>
        </w:rPr>
        <w:t>It is essential to consider the racism of our country, our culture, our church, and each congregation as we move toward developing relationships with neighbors who are oppressed by white supremacy.</w:t>
      </w:r>
      <w:r w:rsidR="00FA3888">
        <w:rPr>
          <w:kern w:val="0"/>
          <w14:ligatures w14:val="none"/>
        </w:rPr>
        <w:t xml:space="preserve"> </w:t>
      </w:r>
      <w:r w:rsidR="00BF7615" w:rsidRPr="00BF7615">
        <w:rPr>
          <w:kern w:val="0"/>
          <w14:ligatures w14:val="none"/>
        </w:rPr>
        <w:t xml:space="preserve">God’s vision of the kingdom is diverse and inclusive, but </w:t>
      </w:r>
      <w:r w:rsidR="00C35478">
        <w:rPr>
          <w:kern w:val="0"/>
          <w14:ligatures w14:val="none"/>
        </w:rPr>
        <w:t>we</w:t>
      </w:r>
      <w:r w:rsidR="00BF7615" w:rsidRPr="00BF7615">
        <w:rPr>
          <w:kern w:val="0"/>
          <w14:ligatures w14:val="none"/>
        </w:rPr>
        <w:t xml:space="preserve"> have to overcome </w:t>
      </w:r>
      <w:r w:rsidR="00C35478">
        <w:rPr>
          <w:kern w:val="0"/>
          <w14:ligatures w14:val="none"/>
        </w:rPr>
        <w:t>our</w:t>
      </w:r>
      <w:r w:rsidR="00BF7615" w:rsidRPr="00BF7615">
        <w:rPr>
          <w:kern w:val="0"/>
          <w14:ligatures w14:val="none"/>
        </w:rPr>
        <w:t xml:space="preserve"> unconscious bias against difference to experience it.</w:t>
      </w:r>
    </w:p>
    <w:p w14:paraId="20774D40" w14:textId="6C154CD9" w:rsidR="00BF7615" w:rsidRPr="00BF7615" w:rsidRDefault="00BF7615" w:rsidP="0099062E">
      <w:pPr>
        <w:spacing w:line="360" w:lineRule="auto"/>
        <w:rPr>
          <w:rFonts w:ascii="Times New Roman" w:eastAsia="Times New Roman" w:hAnsi="Times New Roman" w:cs="Times New Roman"/>
          <w:kern w:val="0"/>
          <w:szCs w:val="20"/>
          <w14:ligatures w14:val="none"/>
        </w:rPr>
      </w:pPr>
      <w:r w:rsidRPr="00BF7615">
        <w:rPr>
          <w:kern w:val="0"/>
          <w14:ligatures w14:val="none"/>
        </w:rPr>
        <w:t>Conquering this bias has proven difficult. Mandatory diversity training programs have been part of corporate life for a long time, but they have not been very effective.</w:t>
      </w:r>
      <w:r w:rsidRPr="00BF7615">
        <w:rPr>
          <w:kern w:val="0"/>
          <w:vertAlign w:val="superscript"/>
          <w14:ligatures w14:val="none"/>
        </w:rPr>
        <w:endnoteReference w:id="5"/>
      </w:r>
      <w:r w:rsidRPr="00BF7615">
        <w:rPr>
          <w:kern w:val="0"/>
          <w14:ligatures w14:val="none"/>
        </w:rPr>
        <w:t xml:space="preserve"> Turns out, people don’t like to be told what to do, and they don’t agree with any implication that they are racist.</w:t>
      </w:r>
      <w:r w:rsidRPr="00BF7615">
        <w:rPr>
          <w:kern w:val="0"/>
          <w:vertAlign w:val="superscript"/>
          <w14:ligatures w14:val="none"/>
        </w:rPr>
        <w:endnoteReference w:id="6"/>
      </w:r>
      <w:r w:rsidR="00AC521F">
        <w:rPr>
          <w:kern w:val="0"/>
          <w14:ligatures w14:val="none"/>
        </w:rPr>
        <w:t xml:space="preserve">  Considering our defense system, that’s not surprising</w:t>
      </w:r>
      <w:r w:rsidR="00EA0BCD">
        <w:rPr>
          <w:kern w:val="0"/>
          <w14:ligatures w14:val="none"/>
        </w:rPr>
        <w:t>.</w:t>
      </w:r>
      <w:r w:rsidRPr="00BF7615">
        <w:rPr>
          <w:kern w:val="0"/>
          <w14:ligatures w14:val="none"/>
        </w:rPr>
        <w:t xml:space="preserve"> </w:t>
      </w:r>
      <w:bookmarkStart w:id="4" w:name="_Hlk54252909"/>
      <w:r w:rsidRPr="00BF7615">
        <w:rPr>
          <w:kern w:val="0"/>
          <w14:ligatures w14:val="none"/>
        </w:rPr>
        <w:t>To successfully cross cultural barriers a more subtle approach is needed. Living the Resurrection process</w:t>
      </w:r>
      <w:r w:rsidR="00C8792D">
        <w:rPr>
          <w:kern w:val="0"/>
          <w14:ligatures w14:val="none"/>
        </w:rPr>
        <w:t>es</w:t>
      </w:r>
      <w:r w:rsidRPr="00BF7615">
        <w:rPr>
          <w:kern w:val="0"/>
          <w14:ligatures w14:val="none"/>
        </w:rPr>
        <w:t xml:space="preserve"> help congregations develop mutual relationships with people </w:t>
      </w:r>
      <w:r w:rsidRPr="00BF7615">
        <w:rPr>
          <w:kern w:val="0"/>
          <w14:ligatures w14:val="none"/>
        </w:rPr>
        <w:lastRenderedPageBreak/>
        <w:t xml:space="preserve">who aren’t just like them. </w:t>
      </w:r>
      <w:bookmarkEnd w:id="4"/>
      <w:r w:rsidRPr="00BF7615">
        <w:rPr>
          <w:kern w:val="0"/>
          <w14:ligatures w14:val="none"/>
        </w:rPr>
        <w:t>Once people get to know each other and care about one another, they become more willing to make the changes they need to make to keep the relationship going. Several studies support the idea that racial attitudes change when people of different groups “socialize naturally.”</w:t>
      </w:r>
      <w:r w:rsidRPr="00BF7615">
        <w:rPr>
          <w:kern w:val="0"/>
          <w:vertAlign w:val="superscript"/>
          <w14:ligatures w14:val="none"/>
        </w:rPr>
        <w:endnoteReference w:id="7"/>
      </w:r>
      <w:r w:rsidRPr="00BF7615">
        <w:rPr>
          <w:kern w:val="0"/>
          <w14:ligatures w14:val="none"/>
        </w:rPr>
        <w:t xml:space="preserve"> </w:t>
      </w:r>
    </w:p>
    <w:p w14:paraId="3905A5E9" w14:textId="65C8A783" w:rsidR="0068034B" w:rsidRDefault="0068034B" w:rsidP="00012F71">
      <w:pPr>
        <w:pStyle w:val="Heading1"/>
      </w:pPr>
      <w:r>
        <w:t xml:space="preserve">Practice. </w:t>
      </w:r>
    </w:p>
    <w:p w14:paraId="45441CB3" w14:textId="33B64901" w:rsidR="00134D15" w:rsidRDefault="00164652">
      <w:r>
        <w:t xml:space="preserve">It’s easier for folks to begin their learning from a distance. Doing a demographic study of the neighborhood from the comfort of your computer is </w:t>
      </w:r>
      <w:r w:rsidR="00A01367">
        <w:t xml:space="preserve">less stressful than knocking on doors.  </w:t>
      </w:r>
    </w:p>
    <w:p w14:paraId="2E373B8B" w14:textId="4BA8DB49" w:rsidR="006B0F68" w:rsidRDefault="006B0F68">
      <w:r>
        <w:t>Step 1: Demographic Study.</w:t>
      </w:r>
    </w:p>
    <w:p w14:paraId="6CF83234" w14:textId="77777777" w:rsidR="007A74FF" w:rsidRPr="007A74FF" w:rsidRDefault="007A74FF" w:rsidP="007A74FF">
      <w:r w:rsidRPr="007A74FF">
        <w:t xml:space="preserve">General Demographics of Our Neighborhood by Zip Code.: </w:t>
      </w:r>
    </w:p>
    <w:p w14:paraId="08AAEF1A" w14:textId="77777777" w:rsidR="007A74FF" w:rsidRPr="007A74FF" w:rsidRDefault="007A74FF" w:rsidP="007A74FF">
      <w:r w:rsidRPr="007A74FF">
        <w:t xml:space="preserve">The US Census Bureau keeps all sorts of statistics on every city and county in the country. The link below will take you to the Quick Facts page.  There’s a search and start your search with the county or city name. </w:t>
      </w:r>
    </w:p>
    <w:p w14:paraId="20A375D0" w14:textId="77777777" w:rsidR="007A74FF" w:rsidRPr="007A74FF" w:rsidRDefault="00000000" w:rsidP="007A74FF">
      <w:hyperlink r:id="rId8" w:history="1">
        <w:r w:rsidR="007A74FF" w:rsidRPr="007A74FF">
          <w:rPr>
            <w:rStyle w:val="Hyperlink"/>
          </w:rPr>
          <w:t>https://www.census.gov/quickfacts/fact/table/US/PST045221</w:t>
        </w:r>
      </w:hyperlink>
    </w:p>
    <w:p w14:paraId="39EB7D56" w14:textId="77777777" w:rsidR="007A74FF" w:rsidRPr="007A74FF" w:rsidRDefault="007A74FF" w:rsidP="007A74FF">
      <w:r w:rsidRPr="007A74FF">
        <w:rPr>
          <w:noProof/>
        </w:rPr>
        <mc:AlternateContent>
          <mc:Choice Requires="wps">
            <w:drawing>
              <wp:anchor distT="0" distB="0" distL="114300" distR="114300" simplePos="0" relativeHeight="251660288" behindDoc="0" locked="0" layoutInCell="1" allowOverlap="1" wp14:anchorId="17E43890" wp14:editId="295AA8B5">
                <wp:simplePos x="0" y="0"/>
                <wp:positionH relativeFrom="column">
                  <wp:posOffset>1748380</wp:posOffset>
                </wp:positionH>
                <wp:positionV relativeFrom="paragraph">
                  <wp:posOffset>891304</wp:posOffset>
                </wp:positionV>
                <wp:extent cx="2201113" cy="440818"/>
                <wp:effectExtent l="19050" t="57150" r="27940" b="35560"/>
                <wp:wrapNone/>
                <wp:docPr id="36" name="Straight Arrow Connector 36"/>
                <wp:cNvGraphicFramePr/>
                <a:graphic xmlns:a="http://schemas.openxmlformats.org/drawingml/2006/main">
                  <a:graphicData uri="http://schemas.microsoft.com/office/word/2010/wordprocessingShape">
                    <wps:wsp>
                      <wps:cNvCnPr/>
                      <wps:spPr>
                        <a:xfrm flipH="1" flipV="1">
                          <a:off x="0" y="0"/>
                          <a:ext cx="2201113" cy="4408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4A76CA" id="_x0000_t32" coordsize="21600,21600" o:spt="32" o:oned="t" path="m,l21600,21600e" filled="f">
                <v:path arrowok="t" fillok="f" o:connecttype="none"/>
                <o:lock v:ext="edit" shapetype="t"/>
              </v:shapetype>
              <v:shape id="Straight Arrow Connector 36" o:spid="_x0000_s1026" type="#_x0000_t32" style="position:absolute;margin-left:137.65pt;margin-top:70.2pt;width:173.3pt;height:34.7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" strokecolor="#4472c4 [3204]" strokeweight=".5pt">
                <v:stroke endarrow="block" joinstyle="miter"/>
              </v:shape>
            </w:pict>
          </mc:Fallback>
        </mc:AlternateContent>
      </w:r>
      <w:r w:rsidRPr="007A74FF">
        <w:rPr>
          <w:noProof/>
        </w:rPr>
        <mc:AlternateContent>
          <mc:Choice Requires="wps">
            <w:drawing>
              <wp:anchor distT="0" distB="0" distL="114300" distR="114300" simplePos="0" relativeHeight="251659264" behindDoc="0" locked="0" layoutInCell="1" allowOverlap="1" wp14:anchorId="1606EAAB" wp14:editId="22655D77">
                <wp:simplePos x="0" y="0"/>
                <wp:positionH relativeFrom="column">
                  <wp:posOffset>142952</wp:posOffset>
                </wp:positionH>
                <wp:positionV relativeFrom="paragraph">
                  <wp:posOffset>875791</wp:posOffset>
                </wp:positionV>
                <wp:extent cx="175748" cy="495052"/>
                <wp:effectExtent l="38100" t="38100" r="34290" b="19685"/>
                <wp:wrapNone/>
                <wp:docPr id="29" name="Straight Arrow Connector 29"/>
                <wp:cNvGraphicFramePr/>
                <a:graphic xmlns:a="http://schemas.openxmlformats.org/drawingml/2006/main">
                  <a:graphicData uri="http://schemas.microsoft.com/office/word/2010/wordprocessingShape">
                    <wps:wsp>
                      <wps:cNvCnPr/>
                      <wps:spPr>
                        <a:xfrm flipH="1" flipV="1">
                          <a:off x="0" y="0"/>
                          <a:ext cx="175748" cy="4950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9CFEE" id="Straight Arrow Connector 29" o:spid="_x0000_s1026" type="#_x0000_t32" style="position:absolute;margin-left:11.25pt;margin-top:68.95pt;width:13.85pt;height:3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" strokecolor="#4472c4 [3204]" strokeweight=".5pt">
                <v:stroke endarrow="block" joinstyle="miter"/>
              </v:shape>
            </w:pict>
          </mc:Fallback>
        </mc:AlternateContent>
      </w:r>
      <w:r w:rsidRPr="007A74FF">
        <w:rPr>
          <w:noProof/>
        </w:rPr>
        <w:drawing>
          <wp:inline distT="0" distB="0" distL="0" distR="0" wp14:anchorId="25BF72AD" wp14:editId="3C9F2586">
            <wp:extent cx="5943600" cy="1179830"/>
            <wp:effectExtent l="0" t="0" r="0" b="1270"/>
            <wp:docPr id="28" name="Picture 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10;&#10;Description automatically generated"/>
                    <pic:cNvPicPr/>
                  </pic:nvPicPr>
                  <pic:blipFill>
                    <a:blip r:embed="rId9"/>
                    <a:stretch>
                      <a:fillRect/>
                    </a:stretch>
                  </pic:blipFill>
                  <pic:spPr>
                    <a:xfrm>
                      <a:off x="0" y="0"/>
                      <a:ext cx="5943600" cy="1179830"/>
                    </a:xfrm>
                    <a:prstGeom prst="rect">
                      <a:avLst/>
                    </a:prstGeom>
                  </pic:spPr>
                </pic:pic>
              </a:graphicData>
            </a:graphic>
          </wp:inline>
        </w:drawing>
      </w:r>
    </w:p>
    <w:p w14:paraId="1A341EBE" w14:textId="77777777" w:rsidR="007A74FF" w:rsidRPr="007A74FF" w:rsidRDefault="007A74FF" w:rsidP="007A74FF">
      <w:r w:rsidRPr="007A74FF">
        <w:t xml:space="preserve">Enter your city or county name here and then click the and select “Population” that will give you the population numbers as well as the % for each race category. </w:t>
      </w:r>
    </w:p>
    <w:p w14:paraId="5C8C11F9" w14:textId="77777777" w:rsidR="007A74FF" w:rsidRDefault="007A74FF" w:rsidP="007A74FF">
      <w:r w:rsidRPr="007A74FF">
        <w:t>Play around on this site to learn more – check out the maps too!</w:t>
      </w:r>
    </w:p>
    <w:p w14:paraId="65CBA141" w14:textId="77777777" w:rsidR="00912C62" w:rsidRDefault="00912C62" w:rsidP="007A74FF"/>
    <w:p w14:paraId="315876D6" w14:textId="77777777" w:rsidR="00912C62" w:rsidRPr="007A74FF" w:rsidRDefault="00912C62" w:rsidP="007A74FF"/>
    <w:p w14:paraId="049A6B15" w14:textId="77777777" w:rsidR="007A74FF" w:rsidRPr="007A74FF" w:rsidRDefault="007A74FF" w:rsidP="007A74FF"/>
    <w:p w14:paraId="330AAE24" w14:textId="07A6CA90" w:rsidR="007A74FF" w:rsidRPr="007A74FF" w:rsidRDefault="00A3688E" w:rsidP="007A74FF">
      <w:r>
        <w:t xml:space="preserve">Step </w:t>
      </w:r>
      <w:r w:rsidR="007A74FF" w:rsidRPr="007A74FF">
        <w:t>2.</w:t>
      </w:r>
      <w:r>
        <w:t xml:space="preserve"> Add Data from your</w:t>
      </w:r>
      <w:r w:rsidR="007A74FF" w:rsidRPr="007A74FF">
        <w:t xml:space="preserve"> Local School Districts</w:t>
      </w:r>
    </w:p>
    <w:p w14:paraId="3BC766AE" w14:textId="0A723A5E" w:rsidR="007A74FF" w:rsidRPr="007A74FF" w:rsidRDefault="007A74FF" w:rsidP="007A74FF">
      <w:r w:rsidRPr="007A74FF">
        <w:t xml:space="preserve">What are the public schools within a few miles of the church?  What school district’s boundaries </w:t>
      </w:r>
      <w:r w:rsidR="00213B8B">
        <w:t>is your church facility</w:t>
      </w:r>
      <w:r w:rsidRPr="007A74FF">
        <w:t xml:space="preserve"> inside?   </w:t>
      </w:r>
    </w:p>
    <w:p w14:paraId="00D3412A" w14:textId="2F4B0086" w:rsidR="007A74FF" w:rsidRPr="007A74FF" w:rsidRDefault="007A74FF" w:rsidP="007A74FF">
      <w:r w:rsidRPr="007A74FF">
        <w:t xml:space="preserve">Search the websites of the local school district and you should be able to find links to the schools near the church.  Once you are on the school website, search for the School Accountability Report Card (type SARC into the search box).  Each public school creates a SARC report which includes demographic and </w:t>
      </w:r>
      <w:r w:rsidR="00AA47FE" w:rsidRPr="007A74FF">
        <w:t>socio-economic</w:t>
      </w:r>
      <w:r w:rsidRPr="007A74FF">
        <w:t xml:space="preserve"> information about its student population. </w:t>
      </w:r>
    </w:p>
    <w:p w14:paraId="437795BD" w14:textId="77777777" w:rsidR="007A74FF" w:rsidRPr="007A74FF" w:rsidRDefault="007A74FF" w:rsidP="00912C62">
      <w:pPr>
        <w:pStyle w:val="NoSpacing"/>
        <w:ind w:left="720"/>
      </w:pPr>
      <w:r w:rsidRPr="007A74FF">
        <w:t>What’s the school’s mission statement?</w:t>
      </w:r>
    </w:p>
    <w:p w14:paraId="5DB85751" w14:textId="77777777" w:rsidR="007A74FF" w:rsidRPr="007A74FF" w:rsidRDefault="007A74FF" w:rsidP="00912C62">
      <w:pPr>
        <w:pStyle w:val="NoSpacing"/>
        <w:ind w:left="720"/>
      </w:pPr>
      <w:r w:rsidRPr="007A74FF">
        <w:t>What are they excited about?</w:t>
      </w:r>
    </w:p>
    <w:p w14:paraId="03FA93B3" w14:textId="77777777" w:rsidR="007A74FF" w:rsidRPr="007A74FF" w:rsidRDefault="007A74FF" w:rsidP="00912C62">
      <w:pPr>
        <w:pStyle w:val="NoSpacing"/>
        <w:ind w:left="720"/>
      </w:pPr>
      <w:r w:rsidRPr="007A74FF">
        <w:lastRenderedPageBreak/>
        <w:t>What are the demographics of their students?</w:t>
      </w:r>
    </w:p>
    <w:p w14:paraId="3F00E244" w14:textId="77777777" w:rsidR="007A74FF" w:rsidRPr="007A74FF" w:rsidRDefault="007A74FF" w:rsidP="00912C62">
      <w:pPr>
        <w:pStyle w:val="NoSpacing"/>
        <w:ind w:left="720"/>
      </w:pPr>
      <w:r w:rsidRPr="007A74FF">
        <w:t>What % of students are on free/reduced lunch?</w:t>
      </w:r>
    </w:p>
    <w:p w14:paraId="1FF512F0" w14:textId="77777777" w:rsidR="007A74FF" w:rsidRPr="007A74FF" w:rsidRDefault="007A74FF" w:rsidP="00912C62">
      <w:pPr>
        <w:pStyle w:val="NoSpacing"/>
        <w:ind w:left="720"/>
      </w:pPr>
      <w:r w:rsidRPr="007A74FF">
        <w:t xml:space="preserve">How many are in the number of students in ESL-type programs? </w:t>
      </w:r>
    </w:p>
    <w:p w14:paraId="22BAC161" w14:textId="77777777" w:rsidR="0068034B" w:rsidRDefault="0068034B"/>
    <w:p w14:paraId="3ADA524A" w14:textId="336F9BB1" w:rsidR="00B57E80" w:rsidRPr="00DA6083" w:rsidRDefault="00DA6083" w:rsidP="00B57E80">
      <w:r w:rsidRPr="00DA6083">
        <w:t xml:space="preserve">Step 3: </w:t>
      </w:r>
      <w:r w:rsidR="00B57E80" w:rsidRPr="00DA6083">
        <w:t xml:space="preserve">Crossing Cultural Lines </w:t>
      </w:r>
    </w:p>
    <w:p w14:paraId="29C76A90" w14:textId="77777777" w:rsidR="00FD34E4" w:rsidRDefault="00B57E80" w:rsidP="00FD34E4">
      <w:r w:rsidRPr="00B57E80">
        <w:t>According to the demographics of your neighborhood, what cultures will you cross to engage with your neighbors?</w:t>
      </w:r>
      <w:r w:rsidR="00FD34E4">
        <w:t xml:space="preserve"> </w:t>
      </w:r>
      <w:r w:rsidRPr="00B57E80">
        <w:t xml:space="preserve">ethnic, class, gender identity, generation, </w:t>
      </w:r>
      <w:r w:rsidR="00DA6083">
        <w:t xml:space="preserve">or </w:t>
      </w:r>
      <w:r w:rsidRPr="00B57E80">
        <w:t>others?</w:t>
      </w:r>
    </w:p>
    <w:p w14:paraId="289B7FDA" w14:textId="1A0E1850" w:rsidR="00B57E80" w:rsidRPr="00B57E80" w:rsidRDefault="00B57E80" w:rsidP="003B6196">
      <w:pPr>
        <w:ind w:left="720"/>
      </w:pPr>
      <w:r w:rsidRPr="00B57E80">
        <w:t xml:space="preserve">What do you already know about how to work </w:t>
      </w:r>
      <w:r w:rsidR="00DA6083">
        <w:t>across</w:t>
      </w:r>
      <w:r w:rsidRPr="00B57E80">
        <w:t xml:space="preserve"> these cultural lines?</w:t>
      </w:r>
    </w:p>
    <w:p w14:paraId="70848F75" w14:textId="035A315B" w:rsidR="00B57E80" w:rsidRPr="00B57E80" w:rsidRDefault="00B57E80" w:rsidP="003B6196">
      <w:pPr>
        <w:pStyle w:val="NoSpacing"/>
        <w:ind w:left="720"/>
      </w:pPr>
      <w:r w:rsidRPr="00B57E80">
        <w:t xml:space="preserve">What assumptions do you hear the folks in your congregation make about folks from a different </w:t>
      </w:r>
      <w:r w:rsidR="00DA6083">
        <w:t>culture</w:t>
      </w:r>
      <w:r w:rsidRPr="00B57E80">
        <w:t>?</w:t>
      </w:r>
    </w:p>
    <w:p w14:paraId="286097FA" w14:textId="77777777" w:rsidR="000A7C93" w:rsidRDefault="000A7C93" w:rsidP="00B57E80"/>
    <w:p w14:paraId="5F8A74F3" w14:textId="25794B6E" w:rsidR="00B57E80" w:rsidRPr="00B57E80" w:rsidRDefault="000A7C93" w:rsidP="00B57E80">
      <w:r>
        <w:t>Step 4  What have we done so far?</w:t>
      </w:r>
    </w:p>
    <w:p w14:paraId="1855FFCD" w14:textId="77777777" w:rsidR="00B57E80" w:rsidRPr="00B57E80" w:rsidRDefault="00B57E80" w:rsidP="00B57E80">
      <w:r w:rsidRPr="00B57E80">
        <w:t>What anti-racism resources have you used in your congregation?</w:t>
      </w:r>
    </w:p>
    <w:p w14:paraId="3643086E" w14:textId="77777777" w:rsidR="00B57E80" w:rsidRPr="00B57E80" w:rsidRDefault="00B57E80" w:rsidP="00B57E80">
      <w:r w:rsidRPr="00B57E80">
        <w:tab/>
        <w:t xml:space="preserve">How was it helpful? </w:t>
      </w:r>
    </w:p>
    <w:p w14:paraId="44A73D33" w14:textId="77777777" w:rsidR="00B57E80" w:rsidRPr="00B57E80" w:rsidRDefault="00B57E80" w:rsidP="00B57E80">
      <w:r w:rsidRPr="00B57E80">
        <w:tab/>
        <w:t>What are your next steps?</w:t>
      </w:r>
    </w:p>
    <w:p w14:paraId="410ED4F6" w14:textId="6C5B19E4" w:rsidR="000A7C93" w:rsidRPr="00B57E80" w:rsidRDefault="000A7C93" w:rsidP="00B57E80">
      <w:r>
        <w:t xml:space="preserve">Step 5  What </w:t>
      </w:r>
      <w:r w:rsidR="00A56EE6">
        <w:t>can we do next?</w:t>
      </w:r>
    </w:p>
    <w:p w14:paraId="60841CB4" w14:textId="08B82C5E" w:rsidR="00B57E80" w:rsidRPr="00B57E80" w:rsidRDefault="000E5C94" w:rsidP="00B57E80">
      <w:r>
        <w:t>Here are some resources that could be useful as your next step</w:t>
      </w:r>
      <w:r w:rsidR="005210F0">
        <w:t>. Each of them include</w:t>
      </w:r>
      <w:r w:rsidR="00CE1DBD">
        <w:t>s</w:t>
      </w:r>
      <w:r w:rsidR="005210F0">
        <w:t xml:space="preserve"> ways to put your new learning into action. </w:t>
      </w:r>
    </w:p>
    <w:p w14:paraId="5610F272" w14:textId="7089047A" w:rsidR="004669A0" w:rsidRPr="00B57E80" w:rsidRDefault="00FD6939" w:rsidP="00B57E80">
      <w:pPr>
        <w:numPr>
          <w:ilvl w:val="0"/>
          <w:numId w:val="1"/>
        </w:numPr>
      </w:pPr>
      <w:r>
        <w:t>“</w:t>
      </w:r>
      <w:r w:rsidR="004669A0">
        <w:t xml:space="preserve">Dialogues </w:t>
      </w:r>
      <w:r w:rsidR="000E5C94">
        <w:t>O</w:t>
      </w:r>
      <w:r w:rsidR="004669A0">
        <w:t>n</w:t>
      </w:r>
      <w:r>
        <w:t>:</w:t>
      </w:r>
      <w:r w:rsidR="004669A0">
        <w:t xml:space="preserve"> Race</w:t>
      </w:r>
      <w:r>
        <w:t xml:space="preserve">: </w:t>
      </w:r>
      <w:r w:rsidR="0013446F">
        <w:t>A new small group series to explore race and the church</w:t>
      </w:r>
      <w:r>
        <w:t>” is a Sparkhouse resource</w:t>
      </w:r>
      <w:r w:rsidR="0013446F">
        <w:t xml:space="preserve"> available at</w:t>
      </w:r>
      <w:r w:rsidR="007C56B0">
        <w:t xml:space="preserve"> </w:t>
      </w:r>
      <w:r w:rsidR="007C56B0" w:rsidRPr="007C56B0">
        <w:t>https://www.wearesparkhouse.org/store/category/286991/Dialogues-On-Race</w:t>
      </w:r>
    </w:p>
    <w:p w14:paraId="19D4831D" w14:textId="4CAF5FE1" w:rsidR="00B57E80" w:rsidRDefault="00551813" w:rsidP="00B57E80">
      <w:pPr>
        <w:numPr>
          <w:ilvl w:val="0"/>
          <w:numId w:val="1"/>
        </w:numPr>
      </w:pPr>
      <w:r>
        <w:t>“</w:t>
      </w:r>
      <w:r w:rsidR="008A2333">
        <w:t>The Hate U Give</w:t>
      </w:r>
      <w:r>
        <w:t xml:space="preserve">” by </w:t>
      </w:r>
      <w:r w:rsidR="00C3583E">
        <w:t xml:space="preserve">Angie Thomas </w:t>
      </w:r>
      <w:r>
        <w:t>and</w:t>
      </w:r>
      <w:r w:rsidR="008A2333">
        <w:t xml:space="preserve"> </w:t>
      </w:r>
      <w:r>
        <w:t>“</w:t>
      </w:r>
      <w:r w:rsidR="008A2333">
        <w:t>See No Stranger</w:t>
      </w:r>
      <w:r>
        <w:t xml:space="preserve">” by </w:t>
      </w:r>
      <w:r w:rsidR="00063127">
        <w:t>Valarie Kaur</w:t>
      </w:r>
      <w:r w:rsidR="008A2333">
        <w:t xml:space="preserve"> are both excellent books with reader guides</w:t>
      </w:r>
      <w:r w:rsidR="00063127">
        <w:t xml:space="preserve"> and actions</w:t>
      </w:r>
      <w:r w:rsidR="008A2333">
        <w:t>.</w:t>
      </w:r>
      <w:r w:rsidR="00A56EE6">
        <w:t xml:space="preserve"> Available wherever you buy books.</w:t>
      </w:r>
    </w:p>
    <w:p w14:paraId="149DE9A5" w14:textId="6B098390" w:rsidR="00100061" w:rsidRDefault="004D6DE0" w:rsidP="00100061">
      <w:pPr>
        <w:numPr>
          <w:ilvl w:val="0"/>
          <w:numId w:val="1"/>
        </w:numPr>
      </w:pPr>
      <w:r>
        <w:t>“</w:t>
      </w:r>
      <w:r w:rsidR="00095BB2">
        <w:t xml:space="preserve">Uncomfortable Conversations with a Black Man” – </w:t>
      </w:r>
      <w:r w:rsidR="00C53687">
        <w:t xml:space="preserve">book and </w:t>
      </w:r>
      <w:r w:rsidR="00095BB2">
        <w:t>video series</w:t>
      </w:r>
      <w:r w:rsidR="00C53687">
        <w:t xml:space="preserve"> available at </w:t>
      </w:r>
      <w:hyperlink r:id="rId10" w:history="1">
        <w:r w:rsidR="00C53687" w:rsidRPr="005C6BFA">
          <w:rPr>
            <w:rStyle w:val="Hyperlink"/>
          </w:rPr>
          <w:t>https://uncomfortableconvos.com/</w:t>
        </w:r>
      </w:hyperlink>
    </w:p>
    <w:p w14:paraId="08B6A08B" w14:textId="7E2C4A38" w:rsidR="00B57E80" w:rsidRDefault="005F400B" w:rsidP="00B57E80">
      <w:pPr>
        <w:numPr>
          <w:ilvl w:val="0"/>
          <w:numId w:val="1"/>
        </w:numPr>
      </w:pPr>
      <w:r>
        <w:t>“</w:t>
      </w:r>
      <w:r w:rsidR="00B57E80" w:rsidRPr="00B57E80">
        <w:t>What Lies Between Us: Fostering First Steps Toward Racial Healing</w:t>
      </w:r>
      <w:r>
        <w:t xml:space="preserve">” </w:t>
      </w:r>
      <w:r w:rsidR="00696907">
        <w:t>Dr. Lucretia Carter Berry. 8 Sessions</w:t>
      </w:r>
      <w:r w:rsidR="0040191E">
        <w:t xml:space="preserve">.  Journal/Guide is available on Amazon as a print-on-demand resource. </w:t>
      </w:r>
      <w:r w:rsidR="00B57E80" w:rsidRPr="00B57E80">
        <w:t xml:space="preserve"> Uses the film Race: The Power of Illusion. Brownicity.com</w:t>
      </w:r>
      <w:r w:rsidR="00E63143">
        <w:t xml:space="preserve"> or </w:t>
      </w:r>
      <w:hyperlink r:id="rId11" w:history="1">
        <w:r w:rsidR="00E63143" w:rsidRPr="00EE505A">
          <w:rPr>
            <w:rStyle w:val="Hyperlink"/>
          </w:rPr>
          <w:t>https://www.amazon.com/What-LIES-Between-Journal-Guide/dp/1544106866/ref=sr_1_1?crid=1E7LY58DABN06&amp;keywords=what+lies+between+us%3A+Fostering+first+steps</w:t>
        </w:r>
      </w:hyperlink>
    </w:p>
    <w:p w14:paraId="11193ABA" w14:textId="77777777" w:rsidR="00E63143" w:rsidRPr="00B57E80" w:rsidRDefault="00E63143" w:rsidP="0099062E">
      <w:pPr>
        <w:ind w:left="720"/>
      </w:pPr>
    </w:p>
    <w:p w14:paraId="7ABD1AD6" w14:textId="6E5DA740" w:rsidR="00B57E80" w:rsidRPr="00B57E80" w:rsidRDefault="00B57E80" w:rsidP="00B57E80"/>
    <w:p w14:paraId="43BB6BF8" w14:textId="77777777" w:rsidR="00B57E80" w:rsidRPr="00B57E80" w:rsidRDefault="00B57E80" w:rsidP="00B57E80">
      <w:pPr>
        <w:rPr>
          <w:u w:val="single"/>
        </w:rPr>
      </w:pPr>
    </w:p>
    <w:p w14:paraId="272E33E3" w14:textId="77777777" w:rsidR="0068034B" w:rsidRDefault="0068034B"/>
    <w:p w14:paraId="35360F47" w14:textId="77777777" w:rsidR="007A74FF" w:rsidRDefault="007A74FF"/>
    <w:p w14:paraId="578DE638" w14:textId="77777777" w:rsidR="0068034B" w:rsidRDefault="0068034B"/>
    <w:p w14:paraId="373F15D4" w14:textId="77777777" w:rsidR="0068034B" w:rsidRDefault="0068034B"/>
    <w:sectPr w:rsidR="0068034B" w:rsidSect="00B86BE7">
      <w:footerReference w:type="default" r:id="rId12"/>
      <w:pgSz w:w="12240" w:h="15840"/>
      <w:pgMar w:top="432"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2D12" w14:textId="77777777" w:rsidR="000D1C14" w:rsidRDefault="000D1C14" w:rsidP="00BF7615">
      <w:pPr>
        <w:spacing w:after="0" w:line="240" w:lineRule="auto"/>
      </w:pPr>
      <w:r>
        <w:separator/>
      </w:r>
    </w:p>
  </w:endnote>
  <w:endnote w:type="continuationSeparator" w:id="0">
    <w:p w14:paraId="3515F273" w14:textId="77777777" w:rsidR="000D1C14" w:rsidRDefault="000D1C14" w:rsidP="00BF7615">
      <w:pPr>
        <w:spacing w:after="0" w:line="240" w:lineRule="auto"/>
      </w:pPr>
      <w:r>
        <w:continuationSeparator/>
      </w:r>
    </w:p>
  </w:endnote>
  <w:endnote w:id="1">
    <w:p w14:paraId="1BDB64FF" w14:textId="77777777" w:rsidR="00BF7615" w:rsidRPr="00710D23" w:rsidRDefault="00BF7615" w:rsidP="00BF7615">
      <w:pPr>
        <w:pStyle w:val="EndnoteText"/>
        <w:rPr>
          <w:sz w:val="24"/>
          <w:szCs w:val="24"/>
        </w:rPr>
      </w:pPr>
      <w:r w:rsidRPr="00710D23">
        <w:rPr>
          <w:rStyle w:val="EndnoteReference"/>
          <w:sz w:val="24"/>
          <w:szCs w:val="24"/>
        </w:rPr>
        <w:endnoteRef/>
      </w:r>
      <w:r w:rsidRPr="00710D23">
        <w:rPr>
          <w:sz w:val="24"/>
          <w:szCs w:val="24"/>
        </w:rPr>
        <w:t xml:space="preserve"> </w:t>
      </w:r>
      <w:r w:rsidRPr="00710D23">
        <w:rPr>
          <w:sz w:val="24"/>
          <w:szCs w:val="24"/>
        </w:rPr>
        <w:fldChar w:fldCharType="begin"/>
      </w:r>
      <w:r>
        <w:rPr>
          <w:sz w:val="24"/>
          <w:szCs w:val="24"/>
        </w:rPr>
        <w:instrText xml:space="preserve"> ADDIN ZOTERO_ITEM CSL_CITATION {"citationID":"R2s6sDOT","properties":{"formattedCitation":"Deutschman, {\\i{}Change or Die}.","plainCitation":"Deutschman, Change or Die.","noteIndex":1},"citationItems":[{"id":357,"uris":["http://zotero.org/users/3377376/items/KFCH7QVV"],"itemData":{"id":357,"type":"book","abstract":"Change or Die. What if you were given that choice? If you didn't, your time would end soon—a lot sooner than it had to. Could you change when change matters most?This is the question Alan Deutschman poses in Change or Die, which began as a sensational cover story by the same title for Fast Company. Deutschman concludes that although we all have the ability to change our behavior, we rarely ever do. From patients suffering from heart disease to repeat offenders in the criminal justice system to companies trapped in the mold of unsuccessful business practices, many of us could prevent ominous outcomes by simply changing our mindset.A powerful book with universal appeal, Change or Die deconstructs and debunks age-old myths about change and empowers us with three critical keys—relate, repeat, and reframe—to help us make important positive changes in our lives. Explaining breakthrough research and progressive ideas from a wide selection of leaders in medicine, science, and business (including Dr. Dean Ornish, Mimi Silbert of the Delancey Street Foundation, Bill Gates, Daniel Boulud, and many others), Deutschman demonstrates how anyone can achieve lasting, revolutionary changes that are positive, attainable, and absolutely vital.","edition":"Reprint edition","event-place":"New York","ISBN":"978-0-06-137367-1","language":"English","number-of-pages":"256","publisher":"HarperBusiness","publisher-place":"New York","source":"Amazon","title":"Change or Die: The Three Keys to Change at Work and in Life","title-short":"Change or Die","author":[{"family":"Deutschman","given":"Alan"}],"issued":{"date-parts":[["2007",12,26]]}}}],"schema":"https://github.com/citation-style-language/schema/raw/master/csl-citation.json"} </w:instrText>
      </w:r>
      <w:r w:rsidRPr="00710D23">
        <w:rPr>
          <w:sz w:val="24"/>
          <w:szCs w:val="24"/>
        </w:rPr>
        <w:fldChar w:fldCharType="separate"/>
      </w:r>
      <w:r w:rsidRPr="00CC387D">
        <w:rPr>
          <w:sz w:val="24"/>
          <w:szCs w:val="24"/>
        </w:rPr>
        <w:t xml:space="preserve">Deutschman, </w:t>
      </w:r>
      <w:r w:rsidRPr="00CC387D">
        <w:rPr>
          <w:i/>
          <w:iCs/>
          <w:sz w:val="24"/>
          <w:szCs w:val="24"/>
        </w:rPr>
        <w:t>Change or Die</w:t>
      </w:r>
      <w:r w:rsidRPr="00CC387D">
        <w:rPr>
          <w:sz w:val="24"/>
          <w:szCs w:val="24"/>
        </w:rPr>
        <w:t>.</w:t>
      </w:r>
      <w:r w:rsidRPr="00710D23">
        <w:rPr>
          <w:sz w:val="24"/>
          <w:szCs w:val="24"/>
        </w:rPr>
        <w:fldChar w:fldCharType="end"/>
      </w:r>
    </w:p>
  </w:endnote>
  <w:endnote w:id="2">
    <w:p w14:paraId="4ABE4ED2" w14:textId="77777777" w:rsidR="00BF7615" w:rsidRPr="00710D23" w:rsidRDefault="00BF7615" w:rsidP="00BF7615">
      <w:pPr>
        <w:pStyle w:val="EndnoteText"/>
        <w:rPr>
          <w:sz w:val="24"/>
          <w:szCs w:val="24"/>
        </w:rPr>
      </w:pPr>
      <w:r w:rsidRPr="00710D23">
        <w:rPr>
          <w:rStyle w:val="EndnoteReference"/>
          <w:sz w:val="24"/>
          <w:szCs w:val="24"/>
        </w:rPr>
        <w:endnoteRef/>
      </w:r>
      <w:r w:rsidRPr="00710D23">
        <w:rPr>
          <w:sz w:val="24"/>
          <w:szCs w:val="24"/>
        </w:rPr>
        <w:t xml:space="preserve"> </w:t>
      </w:r>
      <w:r w:rsidRPr="00710D23">
        <w:rPr>
          <w:sz w:val="24"/>
          <w:szCs w:val="24"/>
        </w:rPr>
        <w:fldChar w:fldCharType="begin"/>
      </w:r>
      <w:r>
        <w:rPr>
          <w:sz w:val="24"/>
          <w:szCs w:val="24"/>
        </w:rPr>
        <w:instrText xml:space="preserve"> ADDIN ZOTERO_ITEM CSL_CITATION {"citationID":"ehat6D4S","properties":{"formattedCitation":"Kegan and Lahey, {\\i{}Immunity to Change}, 56.","plainCitation":"Kegan and Lahey, Immunity to Change, 56.","noteIndex":2},"citationItems":[{"id":284,"uris":["http://zotero.org/users/3377376/items/YJZHXUXG"],"itemData":{"id":284,"type":"book","abstract":"A recent study showed that when doctors tell heart patients they will die if they don't change their habits, only one in seven will be able to follow through successfully. Desire and motivation aren't enough: even when it's literally a matter of life or death, the ability to change remains maddeningly elusive.Given that the status quo is so potent, how can we change ourselves and our organizations?In Immunity to Change, authors Robert Kegan and Lisa Lahey show how our individual beliefs--along with the collective mind-sets in our organizations--combine to create a natural but powerful immunity to change. By revealing how this mechanism holds us back, Kegan and Lahey give us the keys to unlock our potential and finally move forward. And by pinpointing and uprooting our own immunities to change, we can bring our organizations forward with us.This persuasive and practical book, filled with hands-on diagnostics and compelling case studies, delivers the tools you need to overcome the forces of inertia and transform your life and your work.","edition":"1 edition","event-place":"Boston, MA","ISBN":"978-1-4221-1736-1","language":"English","number-of-pages":"340","publisher":"Harvard Business Review Press","publisher-place":"Boston, MA","source":"Amazon","title":"Immunity to Change: How to Overcome It and Unlock the Potential in Yourself and Your Organization","title-short":"Immunity to Change","author":[{"family":"Kegan","given":"Robert"},{"family":"Lahey","given":"Lisa Laskow"}],"issued":{"date-parts":[["2009",1,13]]}},"locator":"56"}],"schema":"https://github.com/citation-style-language/schema/raw/master/csl-citation.json"} </w:instrText>
      </w:r>
      <w:r w:rsidRPr="00710D23">
        <w:rPr>
          <w:sz w:val="24"/>
          <w:szCs w:val="24"/>
        </w:rPr>
        <w:fldChar w:fldCharType="separate"/>
      </w:r>
      <w:r w:rsidRPr="00CC387D">
        <w:rPr>
          <w:sz w:val="24"/>
          <w:szCs w:val="24"/>
        </w:rPr>
        <w:t xml:space="preserve">Kegan and Lahey, </w:t>
      </w:r>
      <w:r w:rsidRPr="00CC387D">
        <w:rPr>
          <w:i/>
          <w:iCs/>
          <w:sz w:val="24"/>
          <w:szCs w:val="24"/>
        </w:rPr>
        <w:t>Immunity to Change</w:t>
      </w:r>
      <w:r w:rsidRPr="00CC387D">
        <w:rPr>
          <w:sz w:val="24"/>
          <w:szCs w:val="24"/>
        </w:rPr>
        <w:t>, 56.</w:t>
      </w:r>
      <w:r w:rsidRPr="00710D23">
        <w:rPr>
          <w:sz w:val="24"/>
          <w:szCs w:val="24"/>
        </w:rPr>
        <w:fldChar w:fldCharType="end"/>
      </w:r>
    </w:p>
  </w:endnote>
  <w:endnote w:id="3">
    <w:p w14:paraId="3658FE61" w14:textId="77777777" w:rsidR="0054792A" w:rsidRPr="00491D82" w:rsidRDefault="0054792A" w:rsidP="0054792A">
      <w:pPr>
        <w:pStyle w:val="EndnoteText"/>
      </w:pPr>
      <w:r>
        <w:rPr>
          <w:rStyle w:val="EndnoteReference"/>
        </w:rPr>
        <w:endnoteRef/>
      </w:r>
      <w:r>
        <w:t xml:space="preserve"> </w:t>
      </w:r>
      <w:r w:rsidRPr="00CD0367">
        <w:rPr>
          <w:sz w:val="24"/>
          <w:szCs w:val="24"/>
        </w:rPr>
        <w:fldChar w:fldCharType="begin"/>
      </w:r>
      <w:r>
        <w:rPr>
          <w:sz w:val="24"/>
          <w:szCs w:val="24"/>
        </w:rPr>
        <w:instrText xml:space="preserve"> ADDIN ZOTERO_ITEM CSL_CITATION {"citationID":"GP7XtbWr","properties":{"formattedCitation":"Martin Luther King Jr., \\uc0\\u8220{}The Martin Luther King Jr Papers.\\uc0\\u8221{}","plainCitation":"Martin Luther King Jr., “The Martin Luther King Jr Papers.”","noteIndex":9},"citationItems":[{"id":359,"uris":["http://zotero.org/users/3377376/items/SVLCK5XL"],"itemData":{"id":359,"type":"document","language":"English","publisher":"Ebony Magazine","title":"Advice for Living","title-short":"The Martin Luther King Jr Papers","URL":"http://okra.stanford.edu/transcription/document_images/Vol04Scans/401_May-1958_Advice%20for%20Living.pdf","author":[{"literal":"Martin Luther King Jr."}],"accessed":{"date-parts":[["2021",1,23]]},"issued":{"date-parts":[["1958",5]]}}}],"schema":"https://github.com/citation-style-language/schema/raw/master/csl-citation.json"} </w:instrText>
      </w:r>
      <w:r w:rsidRPr="00CD0367">
        <w:rPr>
          <w:sz w:val="24"/>
          <w:szCs w:val="24"/>
        </w:rPr>
        <w:fldChar w:fldCharType="separate"/>
      </w:r>
      <w:r w:rsidRPr="00CC387D">
        <w:rPr>
          <w:sz w:val="24"/>
          <w:szCs w:val="24"/>
        </w:rPr>
        <w:t>Martin Luther King Jr., “The Martin Luther King Jr Papers.”</w:t>
      </w:r>
      <w:r w:rsidRPr="00CD0367">
        <w:rPr>
          <w:sz w:val="24"/>
          <w:szCs w:val="24"/>
        </w:rPr>
        <w:fldChar w:fldCharType="end"/>
      </w:r>
    </w:p>
  </w:endnote>
  <w:endnote w:id="4">
    <w:p w14:paraId="55BFA61C" w14:textId="77777777" w:rsidR="005315C7" w:rsidRPr="00710D23" w:rsidRDefault="005315C7" w:rsidP="005315C7">
      <w:pPr>
        <w:pStyle w:val="EndnoteText"/>
        <w:rPr>
          <w:sz w:val="24"/>
          <w:szCs w:val="24"/>
        </w:rPr>
      </w:pPr>
      <w:r w:rsidRPr="00710D23">
        <w:rPr>
          <w:rStyle w:val="EndnoteReference"/>
          <w:sz w:val="24"/>
          <w:szCs w:val="24"/>
        </w:rPr>
        <w:endnoteRef/>
      </w:r>
      <w:r w:rsidRPr="00710D23">
        <w:rPr>
          <w:sz w:val="24"/>
          <w:szCs w:val="24"/>
        </w:rPr>
        <w:t xml:space="preserve"> </w:t>
      </w:r>
      <w:r w:rsidRPr="00710D23">
        <w:rPr>
          <w:sz w:val="24"/>
          <w:szCs w:val="24"/>
        </w:rPr>
        <w:fldChar w:fldCharType="begin"/>
      </w:r>
      <w:r>
        <w:rPr>
          <w:sz w:val="24"/>
          <w:szCs w:val="24"/>
        </w:rPr>
        <w:instrText xml:space="preserve"> ADDIN ZOTERO_ITEM CSL_CITATION {"citationID":"tt7BfttO","properties":{"formattedCitation":"Burrell, 74.","plainCitation":"Burrell, 74.","noteIndex":5},"citationItems":[{"id":433,"uris":["http://zotero.org/users/3377376/items/GKSSJ37E"],"itemData":{"id":433,"type":"article-journal","abstract":"Decades’ worth of studies show that a diverse workforce measurably improves decision making, problem solving, creativity, innovation, and flexibility. But most of us also believe that hiring, development, and compensation decisions should come down to merit. Although the two ideas don’t seem contradictory, they’re tough to reconcile in practice. Cognitive roadblocks keep getting in the way. The author looks at recent books and research studies on the subject, including Success and Luck: Good Fortune and the Myth of Meritocracy, by Robert H. Frank, and Pedigree: How Elite Students Get Elite Jobs, by Lauren A. Rivera. Frank points out, for example, that hindsight bias causes us to believe that random events are predictable and to manufacture explanations for the inevitability of our achievements. And winner-take-all markets intensify the consequences of our cognitive shortcuts. Rivera studied hiring committees at professional services firms that believed they were ensuring rigor and counteracting bias through group discussions of job candidates from the school-recruitment pipeline. But those conversations actually dampened diversity by giving negative racial, ethnic, and gender stereotypes greater sway over decisions.  INSET: INCONSISTENT LEVELS OF SCRUTINY.. [ABSTRACT FROM AUTHOR]","archive":"bsh","container-title":"Harvard Business Review","ISSN":"00178012","issue":"7/8","journalAbbreviation":"Harvard Business Review","page":"70-74","source":"EBSCOhost","title":"We Just Can’t Handle Diversity.","volume":"94","author":[{"family":"Burrell","given":"Lisa"}],"issued":{"date-parts":[["2016",8,7]]}},"locator":"74"}],"schema":"https://github.com/citation-style-language/schema/raw/master/csl-citation.json"} </w:instrText>
      </w:r>
      <w:r w:rsidRPr="00710D23">
        <w:rPr>
          <w:sz w:val="24"/>
          <w:szCs w:val="24"/>
        </w:rPr>
        <w:fldChar w:fldCharType="separate"/>
      </w:r>
      <w:r w:rsidRPr="00CC387D">
        <w:rPr>
          <w:sz w:val="24"/>
        </w:rPr>
        <w:t>Burrell, 74.</w:t>
      </w:r>
      <w:r w:rsidRPr="00710D23">
        <w:rPr>
          <w:sz w:val="24"/>
          <w:szCs w:val="24"/>
        </w:rPr>
        <w:fldChar w:fldCharType="end"/>
      </w:r>
    </w:p>
  </w:endnote>
  <w:endnote w:id="5">
    <w:p w14:paraId="00DE61AB" w14:textId="77777777" w:rsidR="00BF7615" w:rsidRPr="00710D23" w:rsidRDefault="00BF7615" w:rsidP="00BF7615">
      <w:pPr>
        <w:pStyle w:val="EndnoteText"/>
        <w:rPr>
          <w:sz w:val="24"/>
          <w:szCs w:val="24"/>
        </w:rPr>
      </w:pPr>
      <w:r w:rsidRPr="00710D23">
        <w:rPr>
          <w:rStyle w:val="EndnoteReference"/>
          <w:sz w:val="24"/>
          <w:szCs w:val="24"/>
        </w:rPr>
        <w:endnoteRef/>
      </w:r>
      <w:r w:rsidRPr="00710D23">
        <w:rPr>
          <w:sz w:val="24"/>
          <w:szCs w:val="24"/>
        </w:rPr>
        <w:t xml:space="preserve"> </w:t>
      </w:r>
      <w:r w:rsidRPr="00710D23">
        <w:rPr>
          <w:sz w:val="24"/>
          <w:szCs w:val="24"/>
        </w:rPr>
        <w:fldChar w:fldCharType="begin"/>
      </w:r>
      <w:r>
        <w:rPr>
          <w:sz w:val="24"/>
          <w:szCs w:val="24"/>
        </w:rPr>
        <w:instrText xml:space="preserve"> ADDIN ZOTERO_ITEM CSL_CITATION {"citationID":"IHChkNfO","properties":{"formattedCitation":"Dobbin and Kalev, \\uc0\\u8220{}Why Diversity Programs Fail.,\\uc0\\u8221{} 51.","plainCitation":"Dobbin and Kalev, “Why Diversity Programs Fail.,” 51.","noteIndex":6},"citationItems":[{"id":432,"uris":["http://zotero.org/users/3377376/items/UKT2F57J"],"itemData":{"id":432,"type":"article-journal","abstract":"After Wall Street firms repeatedly had to shell out millions to settle discrimination lawsuits, businesses started to get serious about their efforts to increase diversity. But unfortunately, they don’t seem to be getting results: Women and minorities have not gained much ground in management over the past 20 years. The problem is, organizations are trying to reduce bias with the same kinds of programs they’ve been using since the 1960s. And the usual tools—diversity training, hiring tests, performance ratings, grievance systems—tend to make things worse, not better. The authors’ analysis of data from 829 firms over three decades shows that these tools actually decrease the proportion of women and minorities in management. They’re designed to preempt lawsuits by policing managers’ decisions and actions. But as lab studies show, this kind of force-feeding can activate bias and encourage rebellion. However, in their analysis the authors uncovered numerous diversity tactics that do move the needle, such as recruiting initiatives, mentoring programs, and diversity task forces. They engage managers in solving the problem, increase contact with women and minority workers, and promote social accountability. In this article, the authors dig into the data, executive interviews, and several examples to shed light on what doesn’t work and what does.  INSET: Which Diversity Efforts Actually Succeed?. [ABSTRACT FROM AUTHOR]","archive":"bsh","container-title":"Harvard Business Review","ISSN":"00178012","issue":"7/8","journalAbbreviation":"Harvard Business Review","page":"52-60","source":"EBSCOhost","title":"Why Diversity Programs Fail.","volume":"94","author":[{"family":"Dobbin","given":"Frank"},{"family":"Kalev","given":"Alexandra"}],"issued":{"date-parts":[["2016",8,7]]}},"locator":"51"}],"schema":"https://github.com/citation-style-language/schema/raw/master/csl-citation.json"} </w:instrText>
      </w:r>
      <w:r w:rsidRPr="00710D23">
        <w:rPr>
          <w:sz w:val="24"/>
          <w:szCs w:val="24"/>
        </w:rPr>
        <w:fldChar w:fldCharType="separate"/>
      </w:r>
      <w:r w:rsidRPr="00CC387D">
        <w:rPr>
          <w:sz w:val="24"/>
          <w:szCs w:val="24"/>
        </w:rPr>
        <w:t>Dobbin and Kalev, “Why Diversity Programs Fail.,” 51.</w:t>
      </w:r>
      <w:r w:rsidRPr="00710D23">
        <w:rPr>
          <w:sz w:val="24"/>
          <w:szCs w:val="24"/>
        </w:rPr>
        <w:fldChar w:fldCharType="end"/>
      </w:r>
    </w:p>
  </w:endnote>
  <w:endnote w:id="6">
    <w:p w14:paraId="6E558248" w14:textId="77777777" w:rsidR="00BF7615" w:rsidRPr="00710D23" w:rsidRDefault="00BF7615" w:rsidP="00BF7615">
      <w:pPr>
        <w:pStyle w:val="EndnoteText"/>
        <w:rPr>
          <w:sz w:val="24"/>
          <w:szCs w:val="24"/>
        </w:rPr>
      </w:pPr>
      <w:r w:rsidRPr="00710D23">
        <w:rPr>
          <w:rStyle w:val="EndnoteReference"/>
          <w:sz w:val="24"/>
          <w:szCs w:val="24"/>
        </w:rPr>
        <w:endnoteRef/>
      </w:r>
      <w:r w:rsidRPr="00710D23">
        <w:rPr>
          <w:sz w:val="24"/>
          <w:szCs w:val="24"/>
        </w:rPr>
        <w:t xml:space="preserve"> </w:t>
      </w:r>
      <w:r w:rsidRPr="00710D23">
        <w:rPr>
          <w:sz w:val="24"/>
          <w:szCs w:val="24"/>
        </w:rPr>
        <w:fldChar w:fldCharType="begin"/>
      </w:r>
      <w:r>
        <w:rPr>
          <w:sz w:val="24"/>
          <w:szCs w:val="24"/>
        </w:rPr>
        <w:instrText xml:space="preserve"> ADDIN ZOTERO_ITEM CSL_CITATION {"citationID":"8idA96Oe","properties":{"formattedCitation":"Dobbin and Kalev, 56.","plainCitation":"Dobbin and Kalev, 56.","noteIndex":7},"citationItems":[{"id":432,"uris":["http://zotero.org/users/3377376/items/UKT2F57J"],"itemData":{"id":432,"type":"article-journal","abstract":"After Wall Street firms repeatedly had to shell out millions to settle discrimination lawsuits, businesses started to get serious about their efforts to increase diversity. But unfortunately, they don’t seem to be getting results: Women and minorities have not gained much ground in management over the past 20 years. The problem is, organizations are trying to reduce bias with the same kinds of programs they’ve been using since the 1960s. And the usual tools—diversity training, hiring tests, performance ratings, grievance systems—tend to make things worse, not better. The authors’ analysis of data from 829 firms over three decades shows that these tools actually decrease the proportion of women and minorities in management. They’re designed to preempt lawsuits by policing managers’ decisions and actions. But as lab studies show, this kind of force-feeding can activate bias and encourage rebellion. However, in their analysis the authors uncovered numerous diversity tactics that do move the needle, such as recruiting initiatives, mentoring programs, and diversity task forces. They engage managers in solving the problem, increase contact with women and minority workers, and promote social accountability. In this article, the authors dig into the data, executive interviews, and several examples to shed light on what doesn’t work and what does.  INSET: Which Diversity Efforts Actually Succeed?. [ABSTRACT FROM AUTHOR]","archive":"bsh","container-title":"Harvard Business Review","ISSN":"00178012","issue":"7/8","journalAbbreviation":"Harvard Business Review","page":"52-60","source":"EBSCOhost","title":"Why Diversity Programs Fail.","volume":"94","author":[{"family":"Dobbin","given":"Frank"},{"family":"Kalev","given":"Alexandra"}],"issued":{"date-parts":[["2016",8,7]]}},"locator":"56"}],"schema":"https://github.com/citation-style-language/schema/raw/master/csl-citation.json"} </w:instrText>
      </w:r>
      <w:r w:rsidRPr="00710D23">
        <w:rPr>
          <w:sz w:val="24"/>
          <w:szCs w:val="24"/>
        </w:rPr>
        <w:fldChar w:fldCharType="separate"/>
      </w:r>
      <w:r w:rsidRPr="00CC387D">
        <w:rPr>
          <w:sz w:val="24"/>
        </w:rPr>
        <w:t>Dobbin and Kalev, 56.</w:t>
      </w:r>
      <w:r w:rsidRPr="00710D23">
        <w:rPr>
          <w:sz w:val="24"/>
          <w:szCs w:val="24"/>
        </w:rPr>
        <w:fldChar w:fldCharType="end"/>
      </w:r>
    </w:p>
  </w:endnote>
  <w:endnote w:id="7">
    <w:p w14:paraId="617407F4" w14:textId="77777777" w:rsidR="00BF7615" w:rsidRPr="00710D23" w:rsidRDefault="00BF7615" w:rsidP="00BF7615">
      <w:pPr>
        <w:pStyle w:val="EndnoteText"/>
        <w:rPr>
          <w:sz w:val="24"/>
          <w:szCs w:val="24"/>
        </w:rPr>
      </w:pPr>
      <w:r w:rsidRPr="00710D23">
        <w:rPr>
          <w:rStyle w:val="EndnoteReference"/>
          <w:sz w:val="24"/>
          <w:szCs w:val="24"/>
        </w:rPr>
        <w:endnoteRef/>
      </w:r>
      <w:r w:rsidRPr="00710D23">
        <w:rPr>
          <w:sz w:val="24"/>
          <w:szCs w:val="24"/>
        </w:rPr>
        <w:t xml:space="preserve"> </w:t>
      </w:r>
      <w:r w:rsidRPr="00710D23">
        <w:rPr>
          <w:sz w:val="24"/>
          <w:szCs w:val="24"/>
        </w:rPr>
        <w:fldChar w:fldCharType="begin"/>
      </w:r>
      <w:r>
        <w:rPr>
          <w:sz w:val="24"/>
          <w:szCs w:val="24"/>
        </w:rPr>
        <w:instrText xml:space="preserve"> ADDIN ZOTERO_ITEM CSL_CITATION {"citationID":"ume5MNcQ","properties":{"formattedCitation":"Emerson and Woo, {\\i{}People of the Dream}.","plainCitation":"Emerson and Woo, People of the Dream.","noteIndex":8},"citationItems":[{"id":267,"uris":["http://zotero.org/users/3377376/items/NG7DGK7B"],"itemData":{"id":267,"type":"book","abstract":"It is sometimes said that the most segregated time of the week in the United States is Sunday morning. Even as workplaces and public institutions such as the military have become racially integrated, racial separation in Christian religious congregations is the norm. And yet some congregations remain stubbornly, racially mixed. People of the Dream is the most complete study of this phenomenon ever undertaken. Author Michael Emerson explores such questions as: how do racially mixed congregations come together? How are they sustained? Who attends them, how did they get there, and what are their experiences? Engagingly written, the book enters the worlds of these congregations through national surveys and in-depth studies of those attending racially mixed churches. Data for the book was collected over seven years by the author and his research team. It includes more than 2,500 telephone interviews, hundreds of written surveys, and extensive visits to mixed-race congregations throughout the United States. People of the Dream argues that multiracial congregations are bridge organizations that gather and facilitate cross-racial friendships, disproportionately housing people who have substantially more racially diverse social networks than do other Americans. The book concludes that multiracial congregations and the people in them may be harbingers of racial change to come in the United States.","event-place":"Princeton, NJ","ISBN":"978-0-691-13627-1","language":"English","publisher":"Princeton University Press","publisher-place":"Princeton, NJ","source":"EBSCOhost","title":"People of the Dream: Multiracial Congregations in the United States","title-short":"People of the Dream","author":[{"family":"Emerson","given":"Michael O."},{"family":"Woo","given":"Rodney M."}],"accessed":{"date-parts":[["2016",10,18]]},"issued":{"date-parts":[["2008"]]}}}],"schema":"https://github.com/citation-style-language/schema/raw/master/csl-citation.json"} </w:instrText>
      </w:r>
      <w:r w:rsidRPr="00710D23">
        <w:rPr>
          <w:sz w:val="24"/>
          <w:szCs w:val="24"/>
        </w:rPr>
        <w:fldChar w:fldCharType="separate"/>
      </w:r>
      <w:r w:rsidRPr="00CC387D">
        <w:rPr>
          <w:sz w:val="24"/>
          <w:szCs w:val="24"/>
        </w:rPr>
        <w:t xml:space="preserve">Emerson and Woo, </w:t>
      </w:r>
      <w:r w:rsidRPr="00CC387D">
        <w:rPr>
          <w:i/>
          <w:iCs/>
          <w:sz w:val="24"/>
          <w:szCs w:val="24"/>
        </w:rPr>
        <w:t>People of the Dream</w:t>
      </w:r>
      <w:r w:rsidRPr="00CC387D">
        <w:rPr>
          <w:sz w:val="24"/>
          <w:szCs w:val="24"/>
        </w:rPr>
        <w:t>.</w:t>
      </w:r>
      <w:r w:rsidRPr="00710D23">
        <w:rPr>
          <w:sz w:val="24"/>
          <w:szCs w:val="24"/>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256F" w14:textId="47879977" w:rsidR="008F05F2" w:rsidRDefault="008F05F2">
    <w:pPr>
      <w:pStyle w:val="Footer"/>
    </w:pPr>
    <w:r>
      <w:ptab w:relativeTo="margin" w:alignment="center" w:leader="none"/>
    </w:r>
    <w:hyperlink r:id="rId1" w:history="1">
      <w:r w:rsidRPr="00790E5F">
        <w:rPr>
          <w:rStyle w:val="Hyperlink"/>
        </w:rPr>
        <w:t>www.livingtheresurrection.com</w:t>
      </w:r>
    </w:hyperlink>
  </w:p>
  <w:p w14:paraId="37D3AB04" w14:textId="3AA814A6" w:rsidR="008F05F2" w:rsidRDefault="008F05F2">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E21A" w14:textId="77777777" w:rsidR="000D1C14" w:rsidRDefault="000D1C14" w:rsidP="00BF7615">
      <w:pPr>
        <w:spacing w:after="0" w:line="240" w:lineRule="auto"/>
      </w:pPr>
      <w:r>
        <w:separator/>
      </w:r>
    </w:p>
  </w:footnote>
  <w:footnote w:type="continuationSeparator" w:id="0">
    <w:p w14:paraId="399A3D20" w14:textId="77777777" w:rsidR="000D1C14" w:rsidRDefault="000D1C14" w:rsidP="00BF7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C37"/>
    <w:multiLevelType w:val="hybridMultilevel"/>
    <w:tmpl w:val="D5DC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2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15"/>
    <w:rsid w:val="00012F71"/>
    <w:rsid w:val="0003177B"/>
    <w:rsid w:val="00037B70"/>
    <w:rsid w:val="00056948"/>
    <w:rsid w:val="00063127"/>
    <w:rsid w:val="00080864"/>
    <w:rsid w:val="00095BB2"/>
    <w:rsid w:val="000A2E40"/>
    <w:rsid w:val="000A5253"/>
    <w:rsid w:val="000A7C93"/>
    <w:rsid w:val="000B64D7"/>
    <w:rsid w:val="000D1C14"/>
    <w:rsid w:val="000E5C94"/>
    <w:rsid w:val="00100061"/>
    <w:rsid w:val="0013446F"/>
    <w:rsid w:val="00134D15"/>
    <w:rsid w:val="00164652"/>
    <w:rsid w:val="0017721A"/>
    <w:rsid w:val="00187883"/>
    <w:rsid w:val="00197063"/>
    <w:rsid w:val="001A0073"/>
    <w:rsid w:val="001A06BD"/>
    <w:rsid w:val="001B6DE2"/>
    <w:rsid w:val="001C624C"/>
    <w:rsid w:val="002074EC"/>
    <w:rsid w:val="002111B4"/>
    <w:rsid w:val="00213B8B"/>
    <w:rsid w:val="002262E4"/>
    <w:rsid w:val="002319D9"/>
    <w:rsid w:val="00245CFB"/>
    <w:rsid w:val="00254603"/>
    <w:rsid w:val="00260515"/>
    <w:rsid w:val="00261140"/>
    <w:rsid w:val="00283D5F"/>
    <w:rsid w:val="00285DA7"/>
    <w:rsid w:val="0029710C"/>
    <w:rsid w:val="002A37C1"/>
    <w:rsid w:val="002B0E54"/>
    <w:rsid w:val="002B2F00"/>
    <w:rsid w:val="002D7CFE"/>
    <w:rsid w:val="0031231C"/>
    <w:rsid w:val="00326E1A"/>
    <w:rsid w:val="0034033C"/>
    <w:rsid w:val="00346262"/>
    <w:rsid w:val="003567F9"/>
    <w:rsid w:val="00365A09"/>
    <w:rsid w:val="003732DD"/>
    <w:rsid w:val="00373D82"/>
    <w:rsid w:val="003838B1"/>
    <w:rsid w:val="0039031D"/>
    <w:rsid w:val="00390F4E"/>
    <w:rsid w:val="003941F6"/>
    <w:rsid w:val="003B6196"/>
    <w:rsid w:val="003B6A12"/>
    <w:rsid w:val="003D63E7"/>
    <w:rsid w:val="003F10F9"/>
    <w:rsid w:val="003F7279"/>
    <w:rsid w:val="0040191E"/>
    <w:rsid w:val="004173A9"/>
    <w:rsid w:val="0042527C"/>
    <w:rsid w:val="0046671B"/>
    <w:rsid w:val="004669A0"/>
    <w:rsid w:val="004743A6"/>
    <w:rsid w:val="0048225B"/>
    <w:rsid w:val="004B25E9"/>
    <w:rsid w:val="004D6DE0"/>
    <w:rsid w:val="00515CA6"/>
    <w:rsid w:val="005210F0"/>
    <w:rsid w:val="005315C7"/>
    <w:rsid w:val="0054792A"/>
    <w:rsid w:val="00551813"/>
    <w:rsid w:val="005530AA"/>
    <w:rsid w:val="005602A1"/>
    <w:rsid w:val="005860C6"/>
    <w:rsid w:val="0059068B"/>
    <w:rsid w:val="005F400B"/>
    <w:rsid w:val="005F783A"/>
    <w:rsid w:val="006406F3"/>
    <w:rsid w:val="00640D6E"/>
    <w:rsid w:val="00674F62"/>
    <w:rsid w:val="0068034B"/>
    <w:rsid w:val="00696907"/>
    <w:rsid w:val="006A63F3"/>
    <w:rsid w:val="006B0F68"/>
    <w:rsid w:val="006B3C50"/>
    <w:rsid w:val="006D607F"/>
    <w:rsid w:val="006F2EAC"/>
    <w:rsid w:val="006F45CB"/>
    <w:rsid w:val="0074233B"/>
    <w:rsid w:val="0075125D"/>
    <w:rsid w:val="00752E58"/>
    <w:rsid w:val="007629B0"/>
    <w:rsid w:val="00790DDC"/>
    <w:rsid w:val="007A1C29"/>
    <w:rsid w:val="007A74FF"/>
    <w:rsid w:val="007B055A"/>
    <w:rsid w:val="007B4C1D"/>
    <w:rsid w:val="007C56B0"/>
    <w:rsid w:val="007C6BCF"/>
    <w:rsid w:val="007E51D0"/>
    <w:rsid w:val="0080080E"/>
    <w:rsid w:val="00817F86"/>
    <w:rsid w:val="00864CAF"/>
    <w:rsid w:val="008921BC"/>
    <w:rsid w:val="008A2333"/>
    <w:rsid w:val="008A6028"/>
    <w:rsid w:val="008B6FBB"/>
    <w:rsid w:val="008C1F29"/>
    <w:rsid w:val="008D480C"/>
    <w:rsid w:val="008F05F2"/>
    <w:rsid w:val="008F453E"/>
    <w:rsid w:val="00905EE1"/>
    <w:rsid w:val="00912C62"/>
    <w:rsid w:val="00916D60"/>
    <w:rsid w:val="009448E2"/>
    <w:rsid w:val="0095053B"/>
    <w:rsid w:val="0095075B"/>
    <w:rsid w:val="009640A5"/>
    <w:rsid w:val="00974FC1"/>
    <w:rsid w:val="0099062E"/>
    <w:rsid w:val="00995649"/>
    <w:rsid w:val="009A7E21"/>
    <w:rsid w:val="009B0C45"/>
    <w:rsid w:val="009D0985"/>
    <w:rsid w:val="009D456B"/>
    <w:rsid w:val="009D47D8"/>
    <w:rsid w:val="009E4096"/>
    <w:rsid w:val="00A01367"/>
    <w:rsid w:val="00A24885"/>
    <w:rsid w:val="00A3688E"/>
    <w:rsid w:val="00A56EE6"/>
    <w:rsid w:val="00A6400D"/>
    <w:rsid w:val="00A704EB"/>
    <w:rsid w:val="00AA47FE"/>
    <w:rsid w:val="00AB0665"/>
    <w:rsid w:val="00AC521F"/>
    <w:rsid w:val="00AF49CB"/>
    <w:rsid w:val="00B35438"/>
    <w:rsid w:val="00B42A9E"/>
    <w:rsid w:val="00B57E80"/>
    <w:rsid w:val="00B742D9"/>
    <w:rsid w:val="00B86BE7"/>
    <w:rsid w:val="00B87E80"/>
    <w:rsid w:val="00B90D79"/>
    <w:rsid w:val="00BA15AF"/>
    <w:rsid w:val="00BE30C0"/>
    <w:rsid w:val="00BE4EBE"/>
    <w:rsid w:val="00BF7615"/>
    <w:rsid w:val="00C0150D"/>
    <w:rsid w:val="00C04C2A"/>
    <w:rsid w:val="00C151E3"/>
    <w:rsid w:val="00C35478"/>
    <w:rsid w:val="00C3583E"/>
    <w:rsid w:val="00C47740"/>
    <w:rsid w:val="00C50003"/>
    <w:rsid w:val="00C53687"/>
    <w:rsid w:val="00C749AD"/>
    <w:rsid w:val="00C83D00"/>
    <w:rsid w:val="00C8792D"/>
    <w:rsid w:val="00CC2337"/>
    <w:rsid w:val="00CE1DBD"/>
    <w:rsid w:val="00CE364B"/>
    <w:rsid w:val="00CF7B2A"/>
    <w:rsid w:val="00D0652E"/>
    <w:rsid w:val="00D13C2A"/>
    <w:rsid w:val="00D21F52"/>
    <w:rsid w:val="00D36DCB"/>
    <w:rsid w:val="00D67D87"/>
    <w:rsid w:val="00D7387D"/>
    <w:rsid w:val="00D75EB4"/>
    <w:rsid w:val="00D7760A"/>
    <w:rsid w:val="00D8549A"/>
    <w:rsid w:val="00DA6083"/>
    <w:rsid w:val="00DC64CC"/>
    <w:rsid w:val="00DC7F80"/>
    <w:rsid w:val="00DD00BC"/>
    <w:rsid w:val="00DE253B"/>
    <w:rsid w:val="00E05154"/>
    <w:rsid w:val="00E15E20"/>
    <w:rsid w:val="00E300AD"/>
    <w:rsid w:val="00E4253F"/>
    <w:rsid w:val="00E63143"/>
    <w:rsid w:val="00E72C9C"/>
    <w:rsid w:val="00E732FC"/>
    <w:rsid w:val="00E80C12"/>
    <w:rsid w:val="00E83597"/>
    <w:rsid w:val="00E851CD"/>
    <w:rsid w:val="00E91C7B"/>
    <w:rsid w:val="00E93C40"/>
    <w:rsid w:val="00EA0BCD"/>
    <w:rsid w:val="00EB09B2"/>
    <w:rsid w:val="00EC78AD"/>
    <w:rsid w:val="00EF34E9"/>
    <w:rsid w:val="00F02A62"/>
    <w:rsid w:val="00F15A00"/>
    <w:rsid w:val="00F21077"/>
    <w:rsid w:val="00F25599"/>
    <w:rsid w:val="00F51849"/>
    <w:rsid w:val="00F532FD"/>
    <w:rsid w:val="00F62209"/>
    <w:rsid w:val="00F77785"/>
    <w:rsid w:val="00FA3888"/>
    <w:rsid w:val="00FD1D90"/>
    <w:rsid w:val="00FD34E4"/>
    <w:rsid w:val="00FD3D66"/>
    <w:rsid w:val="00FD6939"/>
    <w:rsid w:val="00FF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4B446"/>
  <w15:chartTrackingRefBased/>
  <w15:docId w15:val="{A0DEDFD6-5ED9-4850-9526-4A92C1C7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F76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7615"/>
    <w:rPr>
      <w:sz w:val="20"/>
      <w:szCs w:val="20"/>
    </w:rPr>
  </w:style>
  <w:style w:type="character" w:styleId="EndnoteReference">
    <w:name w:val="endnote reference"/>
    <w:basedOn w:val="DefaultParagraphFont"/>
    <w:semiHidden/>
    <w:unhideWhenUsed/>
    <w:rsid w:val="00BF7615"/>
    <w:rPr>
      <w:vertAlign w:val="superscript"/>
    </w:rPr>
  </w:style>
  <w:style w:type="table" w:styleId="TableGrid">
    <w:name w:val="Table Grid"/>
    <w:basedOn w:val="TableNormal"/>
    <w:uiPriority w:val="59"/>
    <w:rsid w:val="00DD00BC"/>
    <w:pPr>
      <w:spacing w:after="0" w:line="240" w:lineRule="auto"/>
    </w:pPr>
    <w:rPr>
      <w:rFonts w:ascii="Times" w:eastAsia="Times New Roman" w:hAnsi="Times"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4FF"/>
    <w:rPr>
      <w:color w:val="0563C1" w:themeColor="hyperlink"/>
      <w:u w:val="single"/>
    </w:rPr>
  </w:style>
  <w:style w:type="character" w:styleId="UnresolvedMention">
    <w:name w:val="Unresolved Mention"/>
    <w:basedOn w:val="DefaultParagraphFont"/>
    <w:uiPriority w:val="99"/>
    <w:semiHidden/>
    <w:unhideWhenUsed/>
    <w:rsid w:val="007A74FF"/>
    <w:rPr>
      <w:color w:val="605E5C"/>
      <w:shd w:val="clear" w:color="auto" w:fill="E1DFDD"/>
    </w:rPr>
  </w:style>
  <w:style w:type="paragraph" w:styleId="Header">
    <w:name w:val="header"/>
    <w:basedOn w:val="Normal"/>
    <w:link w:val="HeaderChar"/>
    <w:uiPriority w:val="99"/>
    <w:unhideWhenUsed/>
    <w:rsid w:val="00C47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40"/>
  </w:style>
  <w:style w:type="paragraph" w:styleId="Footer">
    <w:name w:val="footer"/>
    <w:basedOn w:val="Normal"/>
    <w:link w:val="FooterChar"/>
    <w:uiPriority w:val="99"/>
    <w:unhideWhenUsed/>
    <w:rsid w:val="00C47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40"/>
  </w:style>
  <w:style w:type="character" w:customStyle="1" w:styleId="Heading1Char">
    <w:name w:val="Heading 1 Char"/>
    <w:basedOn w:val="DefaultParagraphFont"/>
    <w:link w:val="Heading1"/>
    <w:uiPriority w:val="9"/>
    <w:rsid w:val="00012F7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065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652E"/>
    <w:rPr>
      <w:rFonts w:asciiTheme="majorHAnsi" w:eastAsiaTheme="majorEastAsia" w:hAnsiTheme="majorHAnsi" w:cstheme="majorBidi"/>
      <w:spacing w:val="-10"/>
      <w:kern w:val="28"/>
      <w:sz w:val="56"/>
      <w:szCs w:val="56"/>
    </w:rPr>
  </w:style>
  <w:style w:type="paragraph" w:styleId="NoSpacing">
    <w:name w:val="No Spacing"/>
    <w:uiPriority w:val="1"/>
    <w:qFormat/>
    <w:rsid w:val="00912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What-LIES-Between-Journal-Guide/dp/1544106866/ref=sr_1_1?crid=1E7LY58DABN06&amp;keywords=what+lies+between+us%3A+Fostering+first+steps" TargetMode="External"/><Relationship Id="rId5" Type="http://schemas.openxmlformats.org/officeDocument/2006/relationships/footnotes" Target="footnotes.xml"/><Relationship Id="rId10" Type="http://schemas.openxmlformats.org/officeDocument/2006/relationships/hyperlink" Target="https://uncomfortableconvo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vingtheresurr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Funk-Pihl</dc:creator>
  <cp:keywords/>
  <dc:description/>
  <cp:lastModifiedBy>Marj Funk-Pihl</cp:lastModifiedBy>
  <cp:revision>202</cp:revision>
  <dcterms:created xsi:type="dcterms:W3CDTF">2023-06-20T19:10:00Z</dcterms:created>
  <dcterms:modified xsi:type="dcterms:W3CDTF">2023-06-21T22:42:00Z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47a7de4f-a5ef-48c3-8de9-e15630a24a67</vt:lpwstr>
  </property>
</Properties>
</file>